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2A29B" w14:textId="77777777" w:rsidR="0020172D" w:rsidRPr="001F26AC" w:rsidRDefault="0047393F" w:rsidP="0047393F">
      <w:pPr>
        <w:spacing w:after="0" w:line="240" w:lineRule="auto"/>
        <w:jc w:val="center"/>
        <w:rPr>
          <w:rFonts w:ascii="Myriad Pro Light SemiExt" w:eastAsia="Times New Roman" w:hAnsi="Myriad Pro Light SemiExt" w:cs="Tahoma"/>
          <w:sz w:val="28"/>
          <w:szCs w:val="28"/>
          <w:lang w:eastAsia="pl-PL"/>
        </w:rPr>
      </w:pPr>
      <w:bookmarkStart w:id="0" w:name="_GoBack"/>
      <w:bookmarkEnd w:id="0"/>
      <w:r w:rsidRPr="001F26AC">
        <w:rPr>
          <w:rFonts w:ascii="Myriad Pro Light SemiExt" w:eastAsia="Times New Roman" w:hAnsi="Myriad Pro Light SemiExt" w:cs="Tahoma"/>
          <w:sz w:val="28"/>
          <w:szCs w:val="28"/>
          <w:lang w:eastAsia="pl-PL"/>
        </w:rPr>
        <w:t>Opiniowanie projektu</w:t>
      </w:r>
    </w:p>
    <w:p w14:paraId="7570A799" w14:textId="77777777" w:rsidR="00B5612D" w:rsidRPr="00B5612D" w:rsidRDefault="00B5612D" w:rsidP="00B5612D">
      <w:pPr>
        <w:spacing w:after="0" w:line="240" w:lineRule="auto"/>
        <w:jc w:val="center"/>
        <w:rPr>
          <w:rFonts w:ascii="Myriad Pro Light SemiExt" w:eastAsia="Times New Roman" w:hAnsi="Myriad Pro Light SemiExt" w:cs="Tahoma"/>
          <w:sz w:val="28"/>
          <w:szCs w:val="28"/>
          <w:lang w:eastAsia="pl-PL"/>
        </w:rPr>
      </w:pPr>
      <w:r w:rsidRPr="00B5612D">
        <w:rPr>
          <w:rFonts w:ascii="Myriad Pro Light SemiExt" w:eastAsia="Times New Roman" w:hAnsi="Myriad Pro Light SemiExt" w:cs="Tahoma"/>
          <w:sz w:val="28"/>
          <w:szCs w:val="28"/>
          <w:lang w:eastAsia="pl-PL"/>
        </w:rPr>
        <w:t xml:space="preserve">Plan działań krótkoterminowych </w:t>
      </w:r>
    </w:p>
    <w:p w14:paraId="5DC4DAD1" w14:textId="7DDA93E9" w:rsidR="0047393F" w:rsidRPr="001F26AC" w:rsidRDefault="00B5612D" w:rsidP="00B5612D">
      <w:pPr>
        <w:spacing w:after="0" w:line="240" w:lineRule="auto"/>
        <w:jc w:val="center"/>
        <w:rPr>
          <w:rFonts w:ascii="Myriad Pro Light SemiExt" w:eastAsia="Times New Roman" w:hAnsi="Myriad Pro Light SemiExt" w:cs="Tahoma"/>
          <w:sz w:val="28"/>
          <w:szCs w:val="28"/>
          <w:lang w:eastAsia="pl-PL"/>
        </w:rPr>
      </w:pPr>
      <w:r w:rsidRPr="00B5612D">
        <w:rPr>
          <w:rFonts w:ascii="Myriad Pro Light SemiExt" w:eastAsia="Times New Roman" w:hAnsi="Myriad Pro Light SemiExt" w:cs="Tahoma"/>
          <w:sz w:val="28"/>
          <w:szCs w:val="28"/>
          <w:lang w:eastAsia="pl-PL"/>
        </w:rPr>
        <w:t>w zakresie dwutlenku siarki SO</w:t>
      </w:r>
      <w:r w:rsidRPr="00B5612D">
        <w:rPr>
          <w:rFonts w:ascii="Myriad Pro Light SemiExt" w:eastAsia="Times New Roman" w:hAnsi="Myriad Pro Light SemiExt" w:cs="Tahoma"/>
          <w:sz w:val="28"/>
          <w:szCs w:val="28"/>
          <w:vertAlign w:val="subscript"/>
          <w:lang w:eastAsia="pl-PL"/>
        </w:rPr>
        <w:t>2</w:t>
      </w:r>
      <w:r w:rsidRPr="00B5612D">
        <w:rPr>
          <w:rFonts w:ascii="Myriad Pro Light SemiExt" w:eastAsia="Times New Roman" w:hAnsi="Myriad Pro Light SemiExt" w:cs="Tahoma"/>
          <w:sz w:val="28"/>
          <w:szCs w:val="28"/>
          <w:lang w:eastAsia="pl-PL"/>
        </w:rPr>
        <w:t xml:space="preserve"> dla strefy aglomeracja szczecińska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
        <w:gridCol w:w="1954"/>
        <w:gridCol w:w="5432"/>
        <w:gridCol w:w="1058"/>
        <w:gridCol w:w="3795"/>
        <w:gridCol w:w="1349"/>
      </w:tblGrid>
      <w:tr w:rsidR="00572B63" w:rsidRPr="00572B63" w14:paraId="676B027B" w14:textId="77777777" w:rsidTr="002D1B5B">
        <w:trPr>
          <w:trHeight w:val="510"/>
          <w:tblHeader/>
        </w:trPr>
        <w:tc>
          <w:tcPr>
            <w:tcW w:w="145" w:type="pct"/>
            <w:shd w:val="clear" w:color="000000" w:fill="BFBFBF"/>
            <w:vAlign w:val="center"/>
            <w:hideMark/>
          </w:tcPr>
          <w:p w14:paraId="22A8DEEC" w14:textId="77777777" w:rsidR="00902095" w:rsidRPr="00572B63" w:rsidRDefault="00902095" w:rsidP="003A387A">
            <w:pPr>
              <w:spacing w:after="0" w:line="240" w:lineRule="auto"/>
              <w:rPr>
                <w:rFonts w:ascii="Arial" w:eastAsia="Times New Roman" w:hAnsi="Arial" w:cs="Arial"/>
                <w:b/>
                <w:bCs/>
                <w:sz w:val="20"/>
                <w:szCs w:val="20"/>
                <w:lang w:eastAsia="pl-PL"/>
              </w:rPr>
            </w:pPr>
            <w:r w:rsidRPr="00572B63">
              <w:rPr>
                <w:rFonts w:ascii="Arial" w:eastAsia="Times New Roman" w:hAnsi="Arial" w:cs="Arial"/>
                <w:b/>
                <w:bCs/>
                <w:sz w:val="20"/>
                <w:szCs w:val="20"/>
                <w:lang w:eastAsia="pl-PL"/>
              </w:rPr>
              <w:t>LP</w:t>
            </w:r>
          </w:p>
        </w:tc>
        <w:tc>
          <w:tcPr>
            <w:tcW w:w="698" w:type="pct"/>
            <w:shd w:val="clear" w:color="000000" w:fill="BFBFBF"/>
            <w:vAlign w:val="center"/>
            <w:hideMark/>
          </w:tcPr>
          <w:p w14:paraId="437CBE07" w14:textId="77777777" w:rsidR="00902095" w:rsidRPr="00572B63" w:rsidRDefault="00902095" w:rsidP="003A387A">
            <w:pPr>
              <w:spacing w:after="0" w:line="240" w:lineRule="auto"/>
              <w:rPr>
                <w:rFonts w:ascii="Arial" w:eastAsia="Times New Roman" w:hAnsi="Arial" w:cs="Arial"/>
                <w:b/>
                <w:bCs/>
                <w:sz w:val="20"/>
                <w:szCs w:val="20"/>
                <w:lang w:eastAsia="pl-PL"/>
              </w:rPr>
            </w:pPr>
            <w:r w:rsidRPr="00572B63">
              <w:rPr>
                <w:rFonts w:ascii="Arial" w:eastAsia="Times New Roman" w:hAnsi="Arial" w:cs="Arial"/>
                <w:b/>
                <w:bCs/>
                <w:sz w:val="20"/>
                <w:szCs w:val="20"/>
                <w:lang w:eastAsia="pl-PL"/>
              </w:rPr>
              <w:t>Wnioskodawca</w:t>
            </w:r>
          </w:p>
        </w:tc>
        <w:tc>
          <w:tcPr>
            <w:tcW w:w="1941" w:type="pct"/>
            <w:shd w:val="clear" w:color="000000" w:fill="BFBFBF"/>
            <w:vAlign w:val="center"/>
            <w:hideMark/>
          </w:tcPr>
          <w:p w14:paraId="2392F886" w14:textId="77777777" w:rsidR="00902095" w:rsidRPr="00572B63" w:rsidRDefault="00902095" w:rsidP="003A387A">
            <w:pPr>
              <w:spacing w:after="0" w:line="240" w:lineRule="auto"/>
              <w:rPr>
                <w:rFonts w:ascii="Arial" w:eastAsia="Times New Roman" w:hAnsi="Arial" w:cs="Arial"/>
                <w:b/>
                <w:bCs/>
                <w:sz w:val="20"/>
                <w:szCs w:val="20"/>
                <w:lang w:eastAsia="pl-PL"/>
              </w:rPr>
            </w:pPr>
            <w:r w:rsidRPr="00572B63">
              <w:rPr>
                <w:rFonts w:ascii="Arial" w:eastAsia="Times New Roman" w:hAnsi="Arial" w:cs="Arial"/>
                <w:b/>
                <w:bCs/>
                <w:sz w:val="20"/>
                <w:szCs w:val="20"/>
                <w:lang w:eastAsia="pl-PL"/>
              </w:rPr>
              <w:t>Treść</w:t>
            </w:r>
          </w:p>
        </w:tc>
        <w:tc>
          <w:tcPr>
            <w:tcW w:w="378" w:type="pct"/>
            <w:shd w:val="clear" w:color="000000" w:fill="BFBFBF"/>
            <w:vAlign w:val="center"/>
            <w:hideMark/>
          </w:tcPr>
          <w:p w14:paraId="5854E852" w14:textId="77777777" w:rsidR="00902095" w:rsidRPr="00572B63" w:rsidRDefault="00902095" w:rsidP="003A387A">
            <w:pPr>
              <w:spacing w:after="0" w:line="240" w:lineRule="auto"/>
              <w:rPr>
                <w:rFonts w:ascii="Arial" w:eastAsia="Times New Roman" w:hAnsi="Arial" w:cs="Arial"/>
                <w:b/>
                <w:bCs/>
                <w:sz w:val="20"/>
                <w:szCs w:val="20"/>
                <w:lang w:eastAsia="pl-PL"/>
              </w:rPr>
            </w:pPr>
            <w:r w:rsidRPr="00572B63">
              <w:rPr>
                <w:rFonts w:ascii="Arial" w:eastAsia="Times New Roman" w:hAnsi="Arial" w:cs="Arial"/>
                <w:b/>
                <w:bCs/>
                <w:sz w:val="20"/>
                <w:szCs w:val="20"/>
                <w:lang w:eastAsia="pl-PL"/>
              </w:rPr>
              <w:t>Opinia</w:t>
            </w:r>
          </w:p>
        </w:tc>
        <w:tc>
          <w:tcPr>
            <w:tcW w:w="1356" w:type="pct"/>
            <w:shd w:val="clear" w:color="000000" w:fill="BFBFBF"/>
            <w:vAlign w:val="center"/>
            <w:hideMark/>
          </w:tcPr>
          <w:p w14:paraId="4C61821B" w14:textId="77777777" w:rsidR="00902095" w:rsidRPr="00572B63" w:rsidRDefault="00902095" w:rsidP="003A387A">
            <w:pPr>
              <w:spacing w:after="0" w:line="240" w:lineRule="auto"/>
              <w:rPr>
                <w:rFonts w:ascii="Arial" w:eastAsia="Times New Roman" w:hAnsi="Arial" w:cs="Arial"/>
                <w:b/>
                <w:bCs/>
                <w:sz w:val="20"/>
                <w:szCs w:val="20"/>
                <w:lang w:eastAsia="pl-PL"/>
              </w:rPr>
            </w:pPr>
            <w:r w:rsidRPr="00572B63">
              <w:rPr>
                <w:rFonts w:ascii="Arial" w:eastAsia="Times New Roman" w:hAnsi="Arial" w:cs="Arial"/>
                <w:b/>
                <w:bCs/>
                <w:sz w:val="20"/>
                <w:szCs w:val="20"/>
                <w:lang w:eastAsia="pl-PL"/>
              </w:rPr>
              <w:t>Odniesienie</w:t>
            </w:r>
          </w:p>
        </w:tc>
        <w:tc>
          <w:tcPr>
            <w:tcW w:w="482" w:type="pct"/>
            <w:shd w:val="clear" w:color="000000" w:fill="BFBFBF"/>
            <w:vAlign w:val="center"/>
            <w:hideMark/>
          </w:tcPr>
          <w:p w14:paraId="53C92A5D" w14:textId="77777777" w:rsidR="00902095" w:rsidRPr="00572B63" w:rsidRDefault="00902095" w:rsidP="003A387A">
            <w:pPr>
              <w:spacing w:after="0" w:line="240" w:lineRule="auto"/>
              <w:rPr>
                <w:rFonts w:ascii="Arial" w:eastAsia="Times New Roman" w:hAnsi="Arial" w:cs="Arial"/>
                <w:b/>
                <w:bCs/>
                <w:sz w:val="20"/>
                <w:szCs w:val="20"/>
                <w:lang w:eastAsia="pl-PL"/>
              </w:rPr>
            </w:pPr>
            <w:r w:rsidRPr="00572B63">
              <w:rPr>
                <w:rFonts w:ascii="Arial" w:eastAsia="Times New Roman" w:hAnsi="Arial" w:cs="Arial"/>
                <w:b/>
                <w:bCs/>
                <w:sz w:val="20"/>
                <w:szCs w:val="20"/>
                <w:lang w:eastAsia="pl-PL"/>
              </w:rPr>
              <w:t>Zmiany w</w:t>
            </w:r>
            <w:r w:rsidR="008C4643" w:rsidRPr="00572B63">
              <w:rPr>
                <w:rFonts w:ascii="Arial" w:eastAsia="Times New Roman" w:hAnsi="Arial" w:cs="Arial"/>
                <w:b/>
                <w:bCs/>
                <w:sz w:val="20"/>
                <w:szCs w:val="20"/>
                <w:lang w:eastAsia="pl-PL"/>
              </w:rPr>
              <w:t> </w:t>
            </w:r>
            <w:r w:rsidRPr="00572B63">
              <w:rPr>
                <w:rFonts w:ascii="Arial" w:eastAsia="Times New Roman" w:hAnsi="Arial" w:cs="Arial"/>
                <w:b/>
                <w:bCs/>
                <w:sz w:val="20"/>
                <w:szCs w:val="20"/>
                <w:lang w:eastAsia="pl-PL"/>
              </w:rPr>
              <w:t>uchwale</w:t>
            </w:r>
          </w:p>
        </w:tc>
      </w:tr>
      <w:tr w:rsidR="00572B63" w:rsidRPr="00572B63" w14:paraId="771C82CD" w14:textId="77777777" w:rsidTr="002D1B5B">
        <w:trPr>
          <w:trHeight w:val="255"/>
        </w:trPr>
        <w:tc>
          <w:tcPr>
            <w:tcW w:w="145" w:type="pct"/>
            <w:shd w:val="clear" w:color="auto" w:fill="auto"/>
            <w:vAlign w:val="center"/>
          </w:tcPr>
          <w:p w14:paraId="0F4B1A94" w14:textId="571627F0" w:rsidR="00902095" w:rsidRPr="00572B63" w:rsidRDefault="006334B6"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p>
        </w:tc>
        <w:tc>
          <w:tcPr>
            <w:tcW w:w="698" w:type="pct"/>
            <w:shd w:val="clear" w:color="auto" w:fill="auto"/>
            <w:vAlign w:val="center"/>
            <w:hideMark/>
          </w:tcPr>
          <w:p w14:paraId="4F4756D6" w14:textId="6E1878EE" w:rsidR="00902095" w:rsidRPr="00572B63" w:rsidRDefault="00B5612D"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Prezydent Miasta Szczecin</w:t>
            </w:r>
          </w:p>
        </w:tc>
        <w:tc>
          <w:tcPr>
            <w:tcW w:w="1941" w:type="pct"/>
            <w:shd w:val="clear" w:color="auto" w:fill="auto"/>
            <w:vAlign w:val="center"/>
          </w:tcPr>
          <w:p w14:paraId="268DC6F0" w14:textId="0323A029" w:rsidR="008670F8" w:rsidRPr="008670F8" w:rsidRDefault="008670F8" w:rsidP="00C8616C">
            <w:pPr>
              <w:pStyle w:val="Akapitzlist"/>
              <w:numPr>
                <w:ilvl w:val="0"/>
                <w:numId w:val="2"/>
              </w:numPr>
              <w:tabs>
                <w:tab w:val="left" w:pos="406"/>
              </w:tabs>
              <w:spacing w:after="0" w:line="240" w:lineRule="auto"/>
              <w:ind w:left="123" w:firstLine="0"/>
              <w:jc w:val="both"/>
              <w:rPr>
                <w:rFonts w:ascii="Arial" w:eastAsia="Times New Roman" w:hAnsi="Arial" w:cs="Arial"/>
                <w:sz w:val="20"/>
                <w:szCs w:val="20"/>
                <w:lang w:eastAsia="pl-PL"/>
              </w:rPr>
            </w:pPr>
            <w:r w:rsidRPr="008670F8">
              <w:rPr>
                <w:rFonts w:ascii="Arial" w:eastAsia="Times New Roman" w:hAnsi="Arial" w:cs="Arial"/>
                <w:sz w:val="20"/>
                <w:szCs w:val="20"/>
                <w:lang w:eastAsia="pl-PL"/>
              </w:rPr>
              <w:t>Negatywn</w:t>
            </w:r>
            <w:r w:rsidR="0069415D">
              <w:rPr>
                <w:rFonts w:ascii="Arial" w:eastAsia="Times New Roman" w:hAnsi="Arial" w:cs="Arial"/>
                <w:sz w:val="20"/>
                <w:szCs w:val="20"/>
                <w:lang w:eastAsia="pl-PL"/>
              </w:rPr>
              <w:t>i</w:t>
            </w:r>
            <w:r w:rsidRPr="008670F8">
              <w:rPr>
                <w:rFonts w:ascii="Arial" w:eastAsia="Times New Roman" w:hAnsi="Arial" w:cs="Arial"/>
                <w:sz w:val="20"/>
                <w:szCs w:val="20"/>
                <w:lang w:eastAsia="pl-PL"/>
              </w:rPr>
              <w:t xml:space="preserve">e opiniuję zapis punktu: </w:t>
            </w:r>
            <w:r w:rsidRPr="00B270FD">
              <w:rPr>
                <w:rFonts w:ascii="Arial" w:eastAsia="Times New Roman" w:hAnsi="Arial" w:cs="Arial"/>
                <w:i/>
                <w:sz w:val="20"/>
                <w:szCs w:val="20"/>
                <w:lang w:eastAsia="pl-PL"/>
              </w:rPr>
              <w:t>Potencjalne źródła przekroczeń poziomów dopuszczalnych lub poziomu alarmowego dwutlenku siarki (SO2) w strefie aglomeracja szczecińska.</w:t>
            </w:r>
            <w:r w:rsidRPr="008670F8">
              <w:rPr>
                <w:rFonts w:ascii="Arial" w:eastAsia="Times New Roman" w:hAnsi="Arial" w:cs="Arial"/>
                <w:sz w:val="20"/>
                <w:szCs w:val="20"/>
                <w:lang w:eastAsia="pl-PL"/>
              </w:rPr>
              <w:t xml:space="preserve"> jako głównej przyczyny sytuacji RWMŚ GIOŚ wskazuje wysoką emisję na obszarze miasta Szczecin oraz warunki meteorologiczne utrudniające rozprzestrzenianie się zanieczyszczeń w sytuacji wzmożonej emisji ze źródeł przemysłowych.</w:t>
            </w:r>
          </w:p>
          <w:p w14:paraId="2815B9EF" w14:textId="77777777" w:rsidR="008670F8" w:rsidRPr="008670F8" w:rsidRDefault="008670F8" w:rsidP="00B270FD">
            <w:pPr>
              <w:pStyle w:val="Akapitzlist"/>
              <w:spacing w:after="0" w:line="240" w:lineRule="auto"/>
              <w:ind w:left="123"/>
              <w:jc w:val="both"/>
              <w:rPr>
                <w:rFonts w:ascii="Arial" w:eastAsia="Times New Roman" w:hAnsi="Arial" w:cs="Arial"/>
                <w:sz w:val="20"/>
                <w:szCs w:val="20"/>
                <w:lang w:eastAsia="pl-PL"/>
              </w:rPr>
            </w:pPr>
            <w:r w:rsidRPr="008670F8">
              <w:rPr>
                <w:rFonts w:ascii="Arial" w:eastAsia="Times New Roman" w:hAnsi="Arial" w:cs="Arial"/>
                <w:sz w:val="20"/>
                <w:szCs w:val="20"/>
                <w:lang w:eastAsia="pl-PL"/>
              </w:rPr>
              <w:t>Wskazuję, że istotnym elementem, który determinuje poziom stężeń zanieczyszczeń powietrza są przywołane przede wszystkim warunki meteorologiczne, a szczególnie m.in. prędkość wiatru, która determinuje sposób rozpraszania się zanieczyszczeń wprowadzanych do powietrza m.in. kierunek wiatru, który decyduje o tym skąd pochodzą transportowane przez masy powietrza zanieczyszczenia.</w:t>
            </w:r>
          </w:p>
          <w:p w14:paraId="648ACA02" w14:textId="77777777" w:rsidR="008670F8" w:rsidRPr="008670F8" w:rsidRDefault="008670F8" w:rsidP="00B270FD">
            <w:pPr>
              <w:pStyle w:val="Akapitzlist"/>
              <w:spacing w:after="0" w:line="240" w:lineRule="auto"/>
              <w:ind w:left="123"/>
              <w:jc w:val="both"/>
              <w:rPr>
                <w:rFonts w:ascii="Arial" w:eastAsia="Times New Roman" w:hAnsi="Arial" w:cs="Arial"/>
                <w:sz w:val="20"/>
                <w:szCs w:val="20"/>
                <w:lang w:eastAsia="pl-PL"/>
              </w:rPr>
            </w:pPr>
            <w:r w:rsidRPr="008670F8">
              <w:rPr>
                <w:rFonts w:ascii="Arial" w:eastAsia="Times New Roman" w:hAnsi="Arial" w:cs="Arial"/>
                <w:sz w:val="20"/>
                <w:szCs w:val="20"/>
                <w:lang w:eastAsia="pl-PL"/>
              </w:rPr>
              <w:t>Jednakże w PDK zabrakło informacji o uwzględnieniu tak ważnej determinanty panującej w dniu zdarzenia, jak kierunek wiatru (a przecież dane o kierunku wiatru dostępne są chociażby ze stacji pomiarowych).</w:t>
            </w:r>
          </w:p>
          <w:p w14:paraId="3B7493CE" w14:textId="1AF991BF" w:rsidR="008670F8" w:rsidRPr="008670F8" w:rsidRDefault="008670F8" w:rsidP="00B270FD">
            <w:pPr>
              <w:pStyle w:val="Akapitzlist"/>
              <w:spacing w:after="0" w:line="240" w:lineRule="auto"/>
              <w:ind w:left="123"/>
              <w:jc w:val="both"/>
              <w:rPr>
                <w:rFonts w:ascii="Arial" w:eastAsia="Times New Roman" w:hAnsi="Arial" w:cs="Arial"/>
                <w:sz w:val="20"/>
                <w:szCs w:val="20"/>
                <w:lang w:eastAsia="pl-PL"/>
              </w:rPr>
            </w:pPr>
            <w:r w:rsidRPr="008670F8">
              <w:rPr>
                <w:rFonts w:ascii="Arial" w:eastAsia="Times New Roman" w:hAnsi="Arial" w:cs="Arial"/>
                <w:sz w:val="20"/>
                <w:szCs w:val="20"/>
                <w:lang w:eastAsia="pl-PL"/>
              </w:rPr>
              <w:t>Ponadto, w PDK określono, że „analiza danych emisyjnych wskazuje, iż na obszarze strefy aglomeracja szczecińska zlokalizowane są w głównej mierze niewielkie instalacje przemysłowe, których udział w emisji punktowej na większości obszaru strefy nie jest znaczący. Należy zaznaczyć, że instalacje te w małym stopniu mogą wpływać na wysokość stężeń dwutlenku siarki (SO</w:t>
            </w:r>
            <w:r w:rsidRPr="00B270FD">
              <w:rPr>
                <w:rFonts w:ascii="Arial" w:eastAsia="Times New Roman" w:hAnsi="Arial" w:cs="Arial"/>
                <w:sz w:val="20"/>
                <w:szCs w:val="20"/>
                <w:vertAlign w:val="subscript"/>
                <w:lang w:eastAsia="pl-PL"/>
              </w:rPr>
              <w:t>2</w:t>
            </w:r>
            <w:r w:rsidRPr="008670F8">
              <w:rPr>
                <w:rFonts w:ascii="Arial" w:eastAsia="Times New Roman" w:hAnsi="Arial" w:cs="Arial"/>
                <w:sz w:val="20"/>
                <w:szCs w:val="20"/>
                <w:lang w:eastAsia="pl-PL"/>
              </w:rPr>
              <w:t xml:space="preserve">), o czym świadczą notowane od wielu lat w województwie zachodniopomorskim niskie stężenia tego zanieczyszczenia w odniesieniu do wartości kryterialnych. Jednak emisja zanieczyszczeń z dużych zakładów przemysłowych zlokalizowanych w strefie lub w jej </w:t>
            </w:r>
            <w:r w:rsidRPr="008670F8">
              <w:rPr>
                <w:rFonts w:ascii="Arial" w:eastAsia="Times New Roman" w:hAnsi="Arial" w:cs="Arial"/>
                <w:sz w:val="20"/>
                <w:szCs w:val="20"/>
                <w:lang w:eastAsia="pl-PL"/>
              </w:rPr>
              <w:lastRenderedPageBreak/>
              <w:t>sąsiedztwie, w połączeniu z niekorzystnymi warunkami meteorologicznymi (m.in. niska prędkość wiatru, inwersja termiczna) może lokalnie przyczyniać się do występowania chwilowych, wysokich stężeń dwutlenku siarki w</w:t>
            </w:r>
            <w:r w:rsidR="002D1B5B">
              <w:rPr>
                <w:rFonts w:ascii="Arial" w:eastAsia="Times New Roman" w:hAnsi="Arial" w:cs="Arial"/>
                <w:sz w:val="20"/>
                <w:szCs w:val="20"/>
                <w:lang w:eastAsia="pl-PL"/>
              </w:rPr>
              <w:t> </w:t>
            </w:r>
            <w:r w:rsidRPr="008670F8">
              <w:rPr>
                <w:rFonts w:ascii="Arial" w:eastAsia="Times New Roman" w:hAnsi="Arial" w:cs="Arial"/>
                <w:sz w:val="20"/>
                <w:szCs w:val="20"/>
                <w:lang w:eastAsia="pl-PL"/>
              </w:rPr>
              <w:t>powietrzu.”</w:t>
            </w:r>
          </w:p>
          <w:p w14:paraId="7EDB3CFC" w14:textId="3CB2210A" w:rsidR="00902095" w:rsidRPr="00B270FD" w:rsidRDefault="008670F8" w:rsidP="00B270FD">
            <w:pPr>
              <w:pStyle w:val="Akapitzlist"/>
              <w:spacing w:after="0" w:line="240" w:lineRule="auto"/>
              <w:ind w:left="123"/>
              <w:jc w:val="both"/>
              <w:rPr>
                <w:rFonts w:ascii="Arial" w:eastAsia="Times New Roman" w:hAnsi="Arial" w:cs="Arial"/>
                <w:sz w:val="20"/>
                <w:szCs w:val="20"/>
                <w:lang w:eastAsia="pl-PL"/>
              </w:rPr>
            </w:pPr>
            <w:r w:rsidRPr="008670F8">
              <w:rPr>
                <w:rFonts w:ascii="Arial" w:eastAsia="Times New Roman" w:hAnsi="Arial" w:cs="Arial"/>
                <w:sz w:val="20"/>
                <w:szCs w:val="20"/>
                <w:lang w:eastAsia="pl-PL"/>
              </w:rPr>
              <w:t>Tymczasem, stoję na stanowisku, że w oparciu o dane z</w:t>
            </w:r>
            <w:r w:rsidR="002D1B5B">
              <w:rPr>
                <w:rFonts w:ascii="Arial" w:eastAsia="Times New Roman" w:hAnsi="Arial" w:cs="Arial"/>
                <w:sz w:val="20"/>
                <w:szCs w:val="20"/>
                <w:lang w:eastAsia="pl-PL"/>
              </w:rPr>
              <w:t> </w:t>
            </w:r>
            <w:r w:rsidRPr="008670F8">
              <w:rPr>
                <w:rFonts w:ascii="Arial" w:eastAsia="Times New Roman" w:hAnsi="Arial" w:cs="Arial"/>
                <w:sz w:val="20"/>
                <w:szCs w:val="20"/>
                <w:lang w:eastAsia="pl-PL"/>
              </w:rPr>
              <w:t>dotychczas funkcjonujących instalacji na terenie aglomeracji szczecińskiej a także kilkunastu latach obserwacji danych o poziomach dwutlenku siarki SO</w:t>
            </w:r>
            <w:r w:rsidRPr="00B270FD">
              <w:rPr>
                <w:rFonts w:ascii="Arial" w:eastAsia="Times New Roman" w:hAnsi="Arial" w:cs="Arial"/>
                <w:sz w:val="20"/>
                <w:szCs w:val="20"/>
                <w:vertAlign w:val="subscript"/>
                <w:lang w:eastAsia="pl-PL"/>
              </w:rPr>
              <w:t>2</w:t>
            </w:r>
            <w:r w:rsidRPr="008670F8">
              <w:rPr>
                <w:rFonts w:ascii="Arial" w:eastAsia="Times New Roman" w:hAnsi="Arial" w:cs="Arial"/>
                <w:sz w:val="20"/>
                <w:szCs w:val="20"/>
                <w:lang w:eastAsia="pl-PL"/>
              </w:rPr>
              <w:t xml:space="preserve"> ze stacji pomiarowych można wywnioskować, że występowały jedynie sytuacje z niskimi stężeniami tej substancji. Zatem zasadne wydaje się przeprowadzenie analiz danych meteorologicznych</w:t>
            </w:r>
            <w:r w:rsidR="00B270FD">
              <w:rPr>
                <w:rFonts w:ascii="Arial" w:eastAsia="Times New Roman" w:hAnsi="Arial" w:cs="Arial"/>
                <w:sz w:val="20"/>
                <w:szCs w:val="20"/>
                <w:lang w:eastAsia="pl-PL"/>
              </w:rPr>
              <w:t xml:space="preserve"> </w:t>
            </w:r>
            <w:r w:rsidRPr="00B270FD">
              <w:rPr>
                <w:rFonts w:ascii="Arial" w:eastAsia="Times New Roman" w:hAnsi="Arial" w:cs="Arial"/>
                <w:sz w:val="20"/>
                <w:szCs w:val="20"/>
                <w:lang w:eastAsia="pl-PL"/>
              </w:rPr>
              <w:t>obejmujących incydenty celem identyfikacji źródła incydentalnych wysokich stężeń dwutlenku siarki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w:t>
            </w:r>
          </w:p>
        </w:tc>
        <w:tc>
          <w:tcPr>
            <w:tcW w:w="378" w:type="pct"/>
            <w:shd w:val="clear" w:color="auto" w:fill="auto"/>
            <w:vAlign w:val="center"/>
          </w:tcPr>
          <w:p w14:paraId="3BBF894E" w14:textId="74F3A226" w:rsidR="00902095" w:rsidRPr="00572B63" w:rsidRDefault="00902095" w:rsidP="003A387A">
            <w:pPr>
              <w:spacing w:after="0" w:line="240" w:lineRule="auto"/>
              <w:rPr>
                <w:rFonts w:ascii="Arial" w:eastAsia="Times New Roman" w:hAnsi="Arial" w:cs="Arial"/>
                <w:sz w:val="20"/>
                <w:szCs w:val="20"/>
                <w:lang w:eastAsia="pl-PL"/>
              </w:rPr>
            </w:pPr>
          </w:p>
        </w:tc>
        <w:tc>
          <w:tcPr>
            <w:tcW w:w="1356" w:type="pct"/>
            <w:shd w:val="clear" w:color="auto" w:fill="auto"/>
            <w:vAlign w:val="center"/>
          </w:tcPr>
          <w:p w14:paraId="10919DCF" w14:textId="1046C5D5" w:rsidR="00D3490E" w:rsidRDefault="007F40A9" w:rsidP="00CB5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Projekt planu działań krótkoterminowych został opracowany zgodnie z</w:t>
            </w:r>
            <w:r w:rsidR="00CB5B72">
              <w:rPr>
                <w:rFonts w:ascii="Arial" w:eastAsia="Times New Roman" w:hAnsi="Arial" w:cs="Arial"/>
                <w:sz w:val="20"/>
                <w:szCs w:val="20"/>
                <w:lang w:eastAsia="pl-PL"/>
              </w:rPr>
              <w:t> </w:t>
            </w:r>
            <w:r>
              <w:rPr>
                <w:rFonts w:ascii="Arial" w:eastAsia="Times New Roman" w:hAnsi="Arial" w:cs="Arial"/>
                <w:sz w:val="20"/>
                <w:szCs w:val="20"/>
                <w:lang w:eastAsia="pl-PL"/>
              </w:rPr>
              <w:t xml:space="preserve">rozporządzeniem </w:t>
            </w:r>
            <w:r w:rsidRPr="007F40A9">
              <w:rPr>
                <w:rFonts w:ascii="Arial" w:eastAsia="Times New Roman" w:hAnsi="Arial" w:cs="Arial"/>
                <w:sz w:val="20"/>
                <w:szCs w:val="20"/>
                <w:lang w:eastAsia="pl-PL"/>
              </w:rPr>
              <w:t>Ministra Środowiska z</w:t>
            </w:r>
            <w:r w:rsidR="00CB5B72">
              <w:rPr>
                <w:rFonts w:ascii="Arial" w:eastAsia="Times New Roman" w:hAnsi="Arial" w:cs="Arial"/>
                <w:sz w:val="20"/>
                <w:szCs w:val="20"/>
                <w:lang w:eastAsia="pl-PL"/>
              </w:rPr>
              <w:t> </w:t>
            </w:r>
            <w:r w:rsidRPr="007F40A9">
              <w:rPr>
                <w:rFonts w:ascii="Arial" w:eastAsia="Times New Roman" w:hAnsi="Arial" w:cs="Arial"/>
                <w:sz w:val="20"/>
                <w:szCs w:val="20"/>
                <w:lang w:eastAsia="pl-PL"/>
              </w:rPr>
              <w:t>dnia 14 czerwca 2019 r. w</w:t>
            </w:r>
            <w:r>
              <w:rPr>
                <w:rFonts w:ascii="Arial" w:eastAsia="Times New Roman" w:hAnsi="Arial" w:cs="Arial"/>
                <w:sz w:val="20"/>
                <w:szCs w:val="20"/>
                <w:lang w:eastAsia="pl-PL"/>
              </w:rPr>
              <w:t> </w:t>
            </w:r>
            <w:r w:rsidRPr="007F40A9">
              <w:rPr>
                <w:rFonts w:ascii="Arial" w:eastAsia="Times New Roman" w:hAnsi="Arial" w:cs="Arial"/>
                <w:sz w:val="20"/>
                <w:szCs w:val="20"/>
                <w:lang w:eastAsia="pl-PL"/>
              </w:rPr>
              <w:t>sprawie programów ochrony powietrza oraz planów działań krótkoterminowych (Dz.U. 2019 poz. 1159)</w:t>
            </w:r>
            <w:r>
              <w:rPr>
                <w:rFonts w:ascii="Arial" w:eastAsia="Times New Roman" w:hAnsi="Arial" w:cs="Arial"/>
                <w:sz w:val="20"/>
                <w:szCs w:val="20"/>
                <w:lang w:eastAsia="pl-PL"/>
              </w:rPr>
              <w:t>. Opracowany Plan zawiera wszystkie elementy wskazane w</w:t>
            </w:r>
            <w:r w:rsidR="00CB5B72">
              <w:rPr>
                <w:rFonts w:ascii="Arial" w:eastAsia="Times New Roman" w:hAnsi="Arial" w:cs="Arial"/>
                <w:sz w:val="20"/>
                <w:szCs w:val="20"/>
                <w:lang w:eastAsia="pl-PL"/>
              </w:rPr>
              <w:t> </w:t>
            </w:r>
            <w:r>
              <w:rPr>
                <w:rFonts w:ascii="Arial" w:eastAsia="Times New Roman" w:hAnsi="Arial" w:cs="Arial"/>
                <w:sz w:val="20"/>
                <w:szCs w:val="20"/>
                <w:lang w:eastAsia="pl-PL"/>
              </w:rPr>
              <w:t xml:space="preserve">niniejszym rozporządzeniu, w tym </w:t>
            </w:r>
            <w:r w:rsidR="00AD5213">
              <w:rPr>
                <w:rFonts w:ascii="Arial" w:eastAsia="Times New Roman" w:hAnsi="Arial" w:cs="Arial"/>
                <w:sz w:val="20"/>
                <w:szCs w:val="20"/>
                <w:lang w:eastAsia="pl-PL"/>
              </w:rPr>
              <w:t>w</w:t>
            </w:r>
            <w:r w:rsidR="00CB5B72">
              <w:rPr>
                <w:rFonts w:ascii="Arial" w:eastAsia="Times New Roman" w:hAnsi="Arial" w:cs="Arial"/>
                <w:sz w:val="20"/>
                <w:szCs w:val="20"/>
                <w:lang w:eastAsia="pl-PL"/>
              </w:rPr>
              <w:t> </w:t>
            </w:r>
            <w:r w:rsidR="00AD5213">
              <w:rPr>
                <w:rFonts w:ascii="Arial" w:eastAsia="Times New Roman" w:hAnsi="Arial" w:cs="Arial"/>
                <w:sz w:val="20"/>
                <w:szCs w:val="20"/>
                <w:lang w:eastAsia="pl-PL"/>
              </w:rPr>
              <w:t xml:space="preserve"> szczególności </w:t>
            </w:r>
            <w:r w:rsidRPr="007F40A9">
              <w:rPr>
                <w:rFonts w:ascii="Arial" w:eastAsia="Times New Roman" w:hAnsi="Arial" w:cs="Arial"/>
                <w:sz w:val="20"/>
                <w:szCs w:val="20"/>
                <w:lang w:eastAsia="pl-PL"/>
              </w:rPr>
              <w:t xml:space="preserve">analizę stanu powietrza w strefie </w:t>
            </w:r>
          </w:p>
          <w:p w14:paraId="1B3D25C6" w14:textId="1B09BF8B" w:rsidR="00902095" w:rsidRDefault="00D3490E" w:rsidP="00CB5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 uwagi na fakt</w:t>
            </w:r>
            <w:r w:rsidR="00AD5213">
              <w:rPr>
                <w:rFonts w:ascii="Arial" w:eastAsia="Times New Roman" w:hAnsi="Arial" w:cs="Arial"/>
                <w:sz w:val="20"/>
                <w:szCs w:val="20"/>
                <w:lang w:eastAsia="pl-PL"/>
              </w:rPr>
              <w:t>, iż w przekazywanych przez GIOŚ Regionalny Wydział Monitoringu Środowiska w Szczecinie Komunikatach nie wskazuje się danych meteorologicznych panujących w czasie zgłaszanego epizodu oraz z uwagi na fakt, iż na stronie GIOŚ dostępne są jedynie dane stężeń zanieczyszczeń w</w:t>
            </w:r>
            <w:r w:rsidR="00CB5B72">
              <w:rPr>
                <w:rFonts w:ascii="Arial" w:eastAsia="Times New Roman" w:hAnsi="Arial" w:cs="Arial"/>
                <w:sz w:val="20"/>
                <w:szCs w:val="20"/>
                <w:lang w:eastAsia="pl-PL"/>
              </w:rPr>
              <w:t> </w:t>
            </w:r>
            <w:r w:rsidR="00AD5213">
              <w:rPr>
                <w:rFonts w:ascii="Arial" w:eastAsia="Times New Roman" w:hAnsi="Arial" w:cs="Arial"/>
                <w:sz w:val="20"/>
                <w:szCs w:val="20"/>
                <w:lang w:eastAsia="pl-PL"/>
              </w:rPr>
              <w:t xml:space="preserve">powietrzu na </w:t>
            </w:r>
            <w:r w:rsidR="00231491">
              <w:rPr>
                <w:rFonts w:ascii="Arial" w:eastAsia="Times New Roman" w:hAnsi="Arial" w:cs="Arial"/>
                <w:sz w:val="20"/>
                <w:szCs w:val="20"/>
                <w:lang w:eastAsia="pl-PL"/>
              </w:rPr>
              <w:t xml:space="preserve">poszczególnych stacjach </w:t>
            </w:r>
            <w:r w:rsidR="00AD5213">
              <w:rPr>
                <w:rFonts w:ascii="Arial" w:eastAsia="Times New Roman" w:hAnsi="Arial" w:cs="Arial"/>
                <w:sz w:val="20"/>
                <w:szCs w:val="20"/>
                <w:lang w:eastAsia="pl-PL"/>
              </w:rPr>
              <w:t xml:space="preserve"> pomiarow</w:t>
            </w:r>
            <w:r w:rsidR="00231491">
              <w:rPr>
                <w:rFonts w:ascii="Arial" w:eastAsia="Times New Roman" w:hAnsi="Arial" w:cs="Arial"/>
                <w:sz w:val="20"/>
                <w:szCs w:val="20"/>
                <w:lang w:eastAsia="pl-PL"/>
              </w:rPr>
              <w:t>ych</w:t>
            </w:r>
            <w:r w:rsidR="00AD5213">
              <w:rPr>
                <w:rFonts w:ascii="Arial" w:eastAsia="Times New Roman" w:hAnsi="Arial" w:cs="Arial"/>
                <w:sz w:val="20"/>
                <w:szCs w:val="20"/>
                <w:lang w:eastAsia="pl-PL"/>
              </w:rPr>
              <w:t xml:space="preserve"> GIOŚ </w:t>
            </w:r>
            <w:r w:rsidR="00231491">
              <w:rPr>
                <w:rFonts w:ascii="Arial" w:eastAsia="Times New Roman" w:hAnsi="Arial" w:cs="Arial"/>
                <w:sz w:val="20"/>
                <w:szCs w:val="20"/>
                <w:lang w:eastAsia="pl-PL"/>
              </w:rPr>
              <w:t xml:space="preserve">(bez towarzyszących tym pomiarom warunków meteorologicznych) w opracowywanym dokumencie przy opracowywaniu </w:t>
            </w:r>
            <w:r w:rsidR="00231491" w:rsidRPr="007F40A9">
              <w:rPr>
                <w:rFonts w:ascii="Arial" w:eastAsia="Times New Roman" w:hAnsi="Arial" w:cs="Arial"/>
                <w:sz w:val="20"/>
                <w:szCs w:val="20"/>
                <w:lang w:eastAsia="pl-PL"/>
              </w:rPr>
              <w:t>analiz</w:t>
            </w:r>
            <w:r w:rsidR="00231491">
              <w:rPr>
                <w:rFonts w:ascii="Arial" w:eastAsia="Times New Roman" w:hAnsi="Arial" w:cs="Arial"/>
                <w:sz w:val="20"/>
                <w:szCs w:val="20"/>
                <w:lang w:eastAsia="pl-PL"/>
              </w:rPr>
              <w:t>y</w:t>
            </w:r>
            <w:r w:rsidR="00231491" w:rsidRPr="007F40A9">
              <w:rPr>
                <w:rFonts w:ascii="Arial" w:eastAsia="Times New Roman" w:hAnsi="Arial" w:cs="Arial"/>
                <w:sz w:val="20"/>
                <w:szCs w:val="20"/>
                <w:lang w:eastAsia="pl-PL"/>
              </w:rPr>
              <w:t xml:space="preserve"> stanu powietrza w strefie</w:t>
            </w:r>
            <w:r w:rsidR="00231491">
              <w:rPr>
                <w:rFonts w:ascii="Arial" w:eastAsia="Times New Roman" w:hAnsi="Arial" w:cs="Arial"/>
                <w:sz w:val="20"/>
                <w:szCs w:val="20"/>
                <w:lang w:eastAsia="pl-PL"/>
              </w:rPr>
              <w:t xml:space="preserve"> nie można było dodatkowo odnieść się do szczegółowych warunków meteorologicznych.</w:t>
            </w:r>
          </w:p>
          <w:p w14:paraId="393B44D0" w14:textId="77777777" w:rsidR="00231491" w:rsidRDefault="00231491" w:rsidP="00CB5B72">
            <w:pPr>
              <w:spacing w:after="0" w:line="240" w:lineRule="auto"/>
              <w:jc w:val="both"/>
              <w:rPr>
                <w:rFonts w:ascii="Arial" w:eastAsia="Times New Roman" w:hAnsi="Arial" w:cs="Arial"/>
                <w:sz w:val="20"/>
                <w:szCs w:val="20"/>
                <w:lang w:eastAsia="pl-PL"/>
              </w:rPr>
            </w:pPr>
          </w:p>
          <w:p w14:paraId="3DAFC615" w14:textId="1A2C44F3" w:rsidR="00231491" w:rsidRPr="00231491" w:rsidRDefault="00A142EE" w:rsidP="00CB5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 projekcie Planu </w:t>
            </w:r>
            <w:r w:rsidR="00231491">
              <w:rPr>
                <w:rFonts w:ascii="Arial" w:eastAsia="Times New Roman" w:hAnsi="Arial" w:cs="Arial"/>
                <w:sz w:val="20"/>
                <w:szCs w:val="20"/>
                <w:lang w:eastAsia="pl-PL"/>
              </w:rPr>
              <w:t>uwzględniono</w:t>
            </w:r>
            <w:r>
              <w:rPr>
                <w:rFonts w:ascii="Arial" w:eastAsia="Times New Roman" w:hAnsi="Arial" w:cs="Arial"/>
                <w:sz w:val="20"/>
                <w:szCs w:val="20"/>
                <w:lang w:eastAsia="pl-PL"/>
              </w:rPr>
              <w:t xml:space="preserve"> postulat</w:t>
            </w:r>
            <w:r w:rsidR="00231491">
              <w:rPr>
                <w:rFonts w:ascii="Arial" w:eastAsia="Times New Roman" w:hAnsi="Arial" w:cs="Arial"/>
                <w:sz w:val="20"/>
                <w:szCs w:val="20"/>
                <w:lang w:eastAsia="pl-PL"/>
              </w:rPr>
              <w:t xml:space="preserve"> w</w:t>
            </w:r>
            <w:r w:rsidR="00CB5B72">
              <w:rPr>
                <w:rFonts w:ascii="Arial" w:eastAsia="Times New Roman" w:hAnsi="Arial" w:cs="Arial"/>
                <w:sz w:val="20"/>
                <w:szCs w:val="20"/>
                <w:lang w:eastAsia="pl-PL"/>
              </w:rPr>
              <w:t> </w:t>
            </w:r>
            <w:r w:rsidR="00231491">
              <w:rPr>
                <w:rFonts w:ascii="Arial" w:eastAsia="Times New Roman" w:hAnsi="Arial" w:cs="Arial"/>
                <w:sz w:val="20"/>
                <w:szCs w:val="20"/>
                <w:lang w:eastAsia="pl-PL"/>
              </w:rPr>
              <w:t xml:space="preserve">zakresie doprecyzowania zapisów dotyczących instalacji przemysłowych. W tekście przywołano zapis, </w:t>
            </w:r>
            <w:r w:rsidR="00231491" w:rsidRPr="00231491">
              <w:rPr>
                <w:rFonts w:ascii="Arial" w:eastAsia="Times New Roman" w:hAnsi="Arial" w:cs="Arial"/>
                <w:sz w:val="20"/>
                <w:szCs w:val="20"/>
                <w:lang w:eastAsia="pl-PL"/>
              </w:rPr>
              <w:t xml:space="preserve">że instalacje </w:t>
            </w:r>
            <w:r w:rsidR="00231491" w:rsidRPr="00231491">
              <w:rPr>
                <w:rFonts w:ascii="Arial" w:eastAsia="Times New Roman" w:hAnsi="Arial" w:cs="Arial"/>
                <w:sz w:val="20"/>
                <w:szCs w:val="20"/>
                <w:lang w:eastAsia="pl-PL"/>
              </w:rPr>
              <w:lastRenderedPageBreak/>
              <w:t>te pracujące w warunkach normalnej pracy ustalonych w</w:t>
            </w:r>
            <w:r w:rsidR="00CB5B72">
              <w:rPr>
                <w:rFonts w:ascii="Arial" w:eastAsia="Times New Roman" w:hAnsi="Arial" w:cs="Arial"/>
                <w:sz w:val="20"/>
                <w:szCs w:val="20"/>
                <w:lang w:eastAsia="pl-PL"/>
              </w:rPr>
              <w:t> </w:t>
            </w:r>
            <w:r w:rsidR="00231491" w:rsidRPr="00231491">
              <w:rPr>
                <w:rFonts w:ascii="Arial" w:eastAsia="Times New Roman" w:hAnsi="Arial" w:cs="Arial"/>
                <w:sz w:val="20"/>
                <w:szCs w:val="20"/>
                <w:lang w:eastAsia="pl-PL"/>
              </w:rPr>
              <w:t xml:space="preserve">stosownych decyzjach administracyjnych w małym stopniu mogą wpływać na wysokość stężeń dwutlenku siarki, o czym świadczą notowane od wielu lat w województwie zachodniopomorskim niskie stężenia tego zanieczyszczenia w odniesieniu do wartości kryterialnych. </w:t>
            </w:r>
          </w:p>
          <w:p w14:paraId="3E03559F" w14:textId="565DA245" w:rsidR="00231491" w:rsidRPr="00572B63" w:rsidRDefault="00231491" w:rsidP="00CB5B72">
            <w:pPr>
              <w:spacing w:after="0" w:line="240" w:lineRule="auto"/>
              <w:jc w:val="both"/>
              <w:rPr>
                <w:rFonts w:ascii="Arial" w:eastAsia="Times New Roman" w:hAnsi="Arial" w:cs="Arial"/>
                <w:sz w:val="20"/>
                <w:szCs w:val="20"/>
                <w:lang w:eastAsia="pl-PL"/>
              </w:rPr>
            </w:pPr>
            <w:r w:rsidRPr="00231491">
              <w:rPr>
                <w:rFonts w:ascii="Arial" w:eastAsia="Times New Roman" w:hAnsi="Arial" w:cs="Arial"/>
                <w:sz w:val="20"/>
                <w:szCs w:val="20"/>
                <w:lang w:eastAsia="pl-PL"/>
              </w:rPr>
              <w:t>Jednak duże uwolnienia zanieczyszczeń z dużych zakładów przemysłowych</w:t>
            </w:r>
            <w:r>
              <w:rPr>
                <w:rFonts w:ascii="Arial" w:eastAsia="Times New Roman" w:hAnsi="Arial" w:cs="Arial"/>
                <w:sz w:val="20"/>
                <w:szCs w:val="20"/>
                <w:lang w:eastAsia="pl-PL"/>
              </w:rPr>
              <w:t>,</w:t>
            </w:r>
            <w:r w:rsidRPr="00231491">
              <w:rPr>
                <w:rFonts w:ascii="Arial" w:eastAsia="Times New Roman" w:hAnsi="Arial" w:cs="Arial"/>
                <w:sz w:val="20"/>
                <w:szCs w:val="20"/>
                <w:lang w:eastAsia="pl-PL"/>
              </w:rPr>
              <w:t xml:space="preserve"> w</w:t>
            </w:r>
            <w:r w:rsidR="00CB5B72">
              <w:rPr>
                <w:rFonts w:ascii="Arial" w:eastAsia="Times New Roman" w:hAnsi="Arial" w:cs="Arial"/>
                <w:sz w:val="20"/>
                <w:szCs w:val="20"/>
                <w:lang w:eastAsia="pl-PL"/>
              </w:rPr>
              <w:t> </w:t>
            </w:r>
            <w:r w:rsidRPr="00231491">
              <w:rPr>
                <w:rFonts w:ascii="Arial" w:eastAsia="Times New Roman" w:hAnsi="Arial" w:cs="Arial"/>
                <w:sz w:val="20"/>
                <w:szCs w:val="20"/>
                <w:lang w:eastAsia="pl-PL"/>
              </w:rPr>
              <w:t>sytuacjach których nie można przewidzieć tj. w szczególności awarie, w</w:t>
            </w:r>
            <w:r w:rsidR="00CB5B72">
              <w:rPr>
                <w:rFonts w:ascii="Arial" w:eastAsia="Times New Roman" w:hAnsi="Arial" w:cs="Arial"/>
                <w:sz w:val="20"/>
                <w:szCs w:val="20"/>
                <w:lang w:eastAsia="pl-PL"/>
              </w:rPr>
              <w:t> </w:t>
            </w:r>
            <w:r w:rsidRPr="00231491">
              <w:rPr>
                <w:rFonts w:ascii="Arial" w:eastAsia="Times New Roman" w:hAnsi="Arial" w:cs="Arial"/>
                <w:sz w:val="20"/>
                <w:szCs w:val="20"/>
                <w:lang w:eastAsia="pl-PL"/>
              </w:rPr>
              <w:t>połączeniu z niekorzystnymi warunkami meteorologicznymi (m.in. niska prędkość wiatru, inwersja termiczna) w skrajnych przypadkach mogą lokalnie przyczyniać się do występowania epizodów wysokich stężeń dwutlenku siarki w powietrzu.</w:t>
            </w:r>
          </w:p>
        </w:tc>
        <w:tc>
          <w:tcPr>
            <w:tcW w:w="482" w:type="pct"/>
            <w:shd w:val="clear" w:color="auto" w:fill="auto"/>
            <w:vAlign w:val="center"/>
          </w:tcPr>
          <w:p w14:paraId="20F877E6" w14:textId="15DB40E9" w:rsidR="00902095" w:rsidRPr="00572B63" w:rsidRDefault="00231491"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Tak</w:t>
            </w:r>
          </w:p>
        </w:tc>
      </w:tr>
      <w:tr w:rsidR="00CD471E" w:rsidRPr="00572B63" w14:paraId="5710EC6C" w14:textId="77777777" w:rsidTr="002D1B5B">
        <w:trPr>
          <w:trHeight w:val="255"/>
        </w:trPr>
        <w:tc>
          <w:tcPr>
            <w:tcW w:w="145" w:type="pct"/>
            <w:shd w:val="clear" w:color="auto" w:fill="auto"/>
            <w:vAlign w:val="center"/>
          </w:tcPr>
          <w:p w14:paraId="1BD2E0EB" w14:textId="60D8CEDF" w:rsidR="00CD471E" w:rsidRPr="00572B63" w:rsidRDefault="00CD471E" w:rsidP="003A387A">
            <w:pPr>
              <w:spacing w:after="0" w:line="240" w:lineRule="auto"/>
              <w:rPr>
                <w:rFonts w:ascii="Arial" w:eastAsia="Times New Roman" w:hAnsi="Arial" w:cs="Arial"/>
                <w:sz w:val="20"/>
                <w:szCs w:val="20"/>
                <w:lang w:eastAsia="pl-PL"/>
              </w:rPr>
            </w:pPr>
          </w:p>
        </w:tc>
        <w:tc>
          <w:tcPr>
            <w:tcW w:w="698" w:type="pct"/>
            <w:shd w:val="clear" w:color="auto" w:fill="auto"/>
            <w:vAlign w:val="center"/>
            <w:hideMark/>
          </w:tcPr>
          <w:p w14:paraId="040B6753" w14:textId="44789429" w:rsidR="00CD471E" w:rsidRPr="00572B63" w:rsidRDefault="00CD471E" w:rsidP="003A387A">
            <w:pPr>
              <w:spacing w:after="0" w:line="240" w:lineRule="auto"/>
              <w:rPr>
                <w:rFonts w:ascii="Arial" w:eastAsia="Times New Roman" w:hAnsi="Arial" w:cs="Arial"/>
                <w:sz w:val="20"/>
                <w:szCs w:val="20"/>
                <w:lang w:eastAsia="pl-PL"/>
              </w:rPr>
            </w:pPr>
          </w:p>
        </w:tc>
        <w:tc>
          <w:tcPr>
            <w:tcW w:w="1941" w:type="pct"/>
            <w:shd w:val="clear" w:color="auto" w:fill="auto"/>
            <w:vAlign w:val="center"/>
          </w:tcPr>
          <w:p w14:paraId="2F053BEB" w14:textId="79CAAA31" w:rsidR="00B270FD" w:rsidRPr="00B270FD" w:rsidRDefault="00B270FD" w:rsidP="00B270FD">
            <w:pPr>
              <w:spacing w:after="0" w:line="240" w:lineRule="auto"/>
              <w:ind w:left="123"/>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B270FD">
              <w:rPr>
                <w:rFonts w:ascii="Arial" w:eastAsia="Times New Roman" w:hAnsi="Arial" w:cs="Arial"/>
                <w:sz w:val="20"/>
                <w:szCs w:val="20"/>
                <w:lang w:eastAsia="pl-PL"/>
              </w:rPr>
              <w:t>Niejako związane z przedmiotową sprawą poczyniono obserwacje własne organu wyników pomiarów udostępnianych ze stacji pomiarowej przy ul. Piłsudskiego w Szczecinie na przestrzeni całego roku 2023 r. w wyniku czego zaobserwowano incydenty występowania wyższych niż w poprzednich latach poziomów dwutlenku siarki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xml:space="preserve"> (w tym również poza sezonem grzewczym). I tak zanotowano oprócz wiadomego zdarzenia w dniu 18.01.2023 r. również następujące incydenty:</w:t>
            </w:r>
          </w:p>
          <w:p w14:paraId="76D87C3C" w14:textId="77777777" w:rsidR="00B270FD" w:rsidRPr="00B270FD" w:rsidRDefault="00B270FD" w:rsidP="00B270FD">
            <w:pPr>
              <w:spacing w:after="0" w:line="240" w:lineRule="auto"/>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 w dniu 04.02.2023 r. - sobota,</w:t>
            </w:r>
          </w:p>
          <w:p w14:paraId="6A231024" w14:textId="77777777" w:rsidR="00B270FD" w:rsidRPr="00B270FD" w:rsidRDefault="00B270FD" w:rsidP="00B270FD">
            <w:pPr>
              <w:spacing w:after="0" w:line="240" w:lineRule="auto"/>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 w dniu 09.06.2023 r. - piątek w trakcie tzw. długiego weekendu,</w:t>
            </w:r>
          </w:p>
          <w:p w14:paraId="5E2F2924" w14:textId="77777777" w:rsidR="00B270FD" w:rsidRPr="00B270FD" w:rsidRDefault="00B270FD" w:rsidP="00B270FD">
            <w:pPr>
              <w:spacing w:after="0" w:line="240" w:lineRule="auto"/>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 w dniu 11.08.2023 r. - piątek przed tzw. długim weekendem,</w:t>
            </w:r>
          </w:p>
          <w:p w14:paraId="524A31C7" w14:textId="77777777" w:rsidR="00B270FD" w:rsidRPr="00B270FD" w:rsidRDefault="00B270FD" w:rsidP="00B270FD">
            <w:pPr>
              <w:spacing w:after="0" w:line="240" w:lineRule="auto"/>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 oraz informacyjnie – ostatni incydent miał miejsce dnia 11.01.2024 r., gdzie poziom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xml:space="preserve"> wyniósł ok. 175 </w:t>
            </w:r>
            <w:proofErr w:type="spellStart"/>
            <w:r w:rsidRPr="00B270FD">
              <w:rPr>
                <w:rFonts w:ascii="Arial" w:eastAsia="Times New Roman" w:hAnsi="Arial" w:cs="Arial"/>
                <w:sz w:val="20"/>
                <w:szCs w:val="20"/>
                <w:lang w:eastAsia="pl-PL"/>
              </w:rPr>
              <w:t>μg</w:t>
            </w:r>
            <w:proofErr w:type="spellEnd"/>
            <w:r w:rsidRPr="00B270FD">
              <w:rPr>
                <w:rFonts w:ascii="Arial" w:eastAsia="Times New Roman" w:hAnsi="Arial" w:cs="Arial"/>
                <w:sz w:val="20"/>
                <w:szCs w:val="20"/>
                <w:lang w:eastAsia="pl-PL"/>
              </w:rPr>
              <w:t>/m</w:t>
            </w:r>
            <w:r w:rsidRPr="00B270FD">
              <w:rPr>
                <w:rFonts w:ascii="Arial" w:eastAsia="Times New Roman" w:hAnsi="Arial" w:cs="Arial"/>
                <w:sz w:val="20"/>
                <w:szCs w:val="20"/>
                <w:vertAlign w:val="superscript"/>
                <w:lang w:eastAsia="pl-PL"/>
              </w:rPr>
              <w:t>3</w:t>
            </w:r>
            <w:r w:rsidRPr="00B270FD">
              <w:rPr>
                <w:rFonts w:ascii="Arial" w:eastAsia="Times New Roman" w:hAnsi="Arial" w:cs="Arial"/>
                <w:sz w:val="20"/>
                <w:szCs w:val="20"/>
                <w:lang w:eastAsia="pl-PL"/>
              </w:rPr>
              <w:t xml:space="preserve"> na </w:t>
            </w:r>
            <w:r w:rsidRPr="00B270FD">
              <w:rPr>
                <w:rFonts w:ascii="Arial" w:eastAsia="Times New Roman" w:hAnsi="Arial" w:cs="Arial"/>
                <w:sz w:val="20"/>
                <w:szCs w:val="20"/>
                <w:lang w:eastAsia="pl-PL"/>
              </w:rPr>
              <w:lastRenderedPageBreak/>
              <w:t>stacji pomiarowej przy ul. Piłsudskiego oraz poziom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xml:space="preserve"> wyniósł ok. 275 </w:t>
            </w:r>
            <w:proofErr w:type="spellStart"/>
            <w:r w:rsidRPr="00B270FD">
              <w:rPr>
                <w:rFonts w:ascii="Arial" w:eastAsia="Times New Roman" w:hAnsi="Arial" w:cs="Arial"/>
                <w:sz w:val="20"/>
                <w:szCs w:val="20"/>
                <w:lang w:eastAsia="pl-PL"/>
              </w:rPr>
              <w:t>μg</w:t>
            </w:r>
            <w:proofErr w:type="spellEnd"/>
            <w:r w:rsidRPr="00B270FD">
              <w:rPr>
                <w:rFonts w:ascii="Arial" w:eastAsia="Times New Roman" w:hAnsi="Arial" w:cs="Arial"/>
                <w:sz w:val="20"/>
                <w:szCs w:val="20"/>
                <w:lang w:eastAsia="pl-PL"/>
              </w:rPr>
              <w:t>/m</w:t>
            </w:r>
            <w:r w:rsidRPr="00B270FD">
              <w:rPr>
                <w:rFonts w:ascii="Arial" w:eastAsia="Times New Roman" w:hAnsi="Arial" w:cs="Arial"/>
                <w:sz w:val="20"/>
                <w:szCs w:val="20"/>
                <w:vertAlign w:val="superscript"/>
                <w:lang w:eastAsia="pl-PL"/>
              </w:rPr>
              <w:t>3</w:t>
            </w:r>
            <w:r w:rsidRPr="00B270FD">
              <w:rPr>
                <w:rFonts w:ascii="Arial" w:eastAsia="Times New Roman" w:hAnsi="Arial" w:cs="Arial"/>
                <w:sz w:val="20"/>
                <w:szCs w:val="20"/>
                <w:lang w:eastAsia="pl-PL"/>
              </w:rPr>
              <w:t xml:space="preserve"> na stacji pomiarowej przy ul. Łącznej.</w:t>
            </w:r>
          </w:p>
          <w:p w14:paraId="4487875C" w14:textId="320E027D" w:rsidR="00CD471E" w:rsidRPr="00572B63" w:rsidRDefault="00B270FD" w:rsidP="00742DCC">
            <w:pPr>
              <w:spacing w:after="0" w:line="240" w:lineRule="auto"/>
              <w:ind w:left="123"/>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Według tut. Organu identyfikacja źródła wskazanych powyżej incydentalnych wysokich stężeń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xml:space="preserve"> ma znaczenie zasadnicze ponieważ występujące ww.</w:t>
            </w:r>
            <w:r w:rsidR="002D1B5B">
              <w:rPr>
                <w:rFonts w:ascii="Arial" w:eastAsia="Times New Roman" w:hAnsi="Arial" w:cs="Arial"/>
                <w:sz w:val="20"/>
                <w:szCs w:val="20"/>
                <w:lang w:eastAsia="pl-PL"/>
              </w:rPr>
              <w:t> </w:t>
            </w:r>
            <w:r w:rsidRPr="00B270FD">
              <w:rPr>
                <w:rFonts w:ascii="Arial" w:eastAsia="Times New Roman" w:hAnsi="Arial" w:cs="Arial"/>
                <w:sz w:val="20"/>
                <w:szCs w:val="20"/>
                <w:lang w:eastAsia="pl-PL"/>
              </w:rPr>
              <w:t>zdarzenia występowania krótkotrwałych, wyższych niż zwykle poziomów dwutlenku siarki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w dniach tygodnia (piątek, podczas tzw. długiego weekendu, sobota) może sugerować działanie uwolnienia dwutlenku siarki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w</w:t>
            </w:r>
            <w:r w:rsidR="002D1B5B">
              <w:rPr>
                <w:rFonts w:ascii="Arial" w:eastAsia="Times New Roman" w:hAnsi="Arial" w:cs="Arial"/>
                <w:sz w:val="20"/>
                <w:szCs w:val="20"/>
                <w:lang w:eastAsia="pl-PL"/>
              </w:rPr>
              <w:t> </w:t>
            </w:r>
            <w:r w:rsidRPr="00B270FD">
              <w:rPr>
                <w:rFonts w:ascii="Arial" w:eastAsia="Times New Roman" w:hAnsi="Arial" w:cs="Arial"/>
                <w:sz w:val="20"/>
                <w:szCs w:val="20"/>
                <w:lang w:eastAsia="pl-PL"/>
              </w:rPr>
              <w:t>sposób rozmyślny, być częścią np. sytuacji uruchomienia nowej linii technologicznej, produkcji, rozruchu instalacji nowej lub po modernizacji, sytuacji zatrzymania lub uruchamiania jakiejś części instalacji, itp. prób technologicznych.</w:t>
            </w:r>
          </w:p>
        </w:tc>
        <w:tc>
          <w:tcPr>
            <w:tcW w:w="378" w:type="pct"/>
            <w:shd w:val="clear" w:color="auto" w:fill="auto"/>
            <w:vAlign w:val="center"/>
          </w:tcPr>
          <w:p w14:paraId="1E60B4B5" w14:textId="41A07441" w:rsidR="00CD471E" w:rsidRPr="00572B63" w:rsidRDefault="00CD471E" w:rsidP="003A387A">
            <w:pPr>
              <w:spacing w:after="0" w:line="240" w:lineRule="auto"/>
              <w:rPr>
                <w:rFonts w:ascii="Arial" w:eastAsia="Times New Roman" w:hAnsi="Arial" w:cs="Arial"/>
                <w:sz w:val="20"/>
                <w:szCs w:val="20"/>
                <w:lang w:eastAsia="pl-PL"/>
              </w:rPr>
            </w:pPr>
          </w:p>
        </w:tc>
        <w:tc>
          <w:tcPr>
            <w:tcW w:w="1356" w:type="pct"/>
            <w:shd w:val="clear" w:color="auto" w:fill="auto"/>
            <w:vAlign w:val="center"/>
          </w:tcPr>
          <w:p w14:paraId="7F0146E3" w14:textId="29CC04DE" w:rsidR="00CD471E" w:rsidRPr="00572B63" w:rsidRDefault="00204144" w:rsidP="00CB5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jw.</w:t>
            </w:r>
          </w:p>
        </w:tc>
        <w:tc>
          <w:tcPr>
            <w:tcW w:w="482" w:type="pct"/>
            <w:shd w:val="clear" w:color="auto" w:fill="auto"/>
            <w:vAlign w:val="center"/>
          </w:tcPr>
          <w:p w14:paraId="6F096913" w14:textId="21BA2F0E" w:rsidR="00CD471E" w:rsidRPr="00572B63" w:rsidRDefault="00204144"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Tak</w:t>
            </w:r>
          </w:p>
        </w:tc>
      </w:tr>
      <w:tr w:rsidR="00CD471E" w:rsidRPr="00572B63" w14:paraId="5A3BC065" w14:textId="77777777" w:rsidTr="002D1B5B">
        <w:trPr>
          <w:trHeight w:val="255"/>
        </w:trPr>
        <w:tc>
          <w:tcPr>
            <w:tcW w:w="145" w:type="pct"/>
            <w:shd w:val="clear" w:color="auto" w:fill="auto"/>
            <w:vAlign w:val="center"/>
          </w:tcPr>
          <w:p w14:paraId="2C04E125" w14:textId="0F8A9BDE" w:rsidR="00CD471E" w:rsidRPr="00572B63" w:rsidRDefault="00CD471E" w:rsidP="003A387A">
            <w:pPr>
              <w:spacing w:after="0" w:line="240" w:lineRule="auto"/>
              <w:rPr>
                <w:rFonts w:ascii="Arial" w:eastAsia="Times New Roman" w:hAnsi="Arial" w:cs="Arial"/>
                <w:sz w:val="20"/>
                <w:szCs w:val="20"/>
                <w:lang w:eastAsia="pl-PL"/>
              </w:rPr>
            </w:pPr>
          </w:p>
        </w:tc>
        <w:tc>
          <w:tcPr>
            <w:tcW w:w="698" w:type="pct"/>
            <w:shd w:val="clear" w:color="auto" w:fill="auto"/>
            <w:vAlign w:val="center"/>
          </w:tcPr>
          <w:p w14:paraId="523E1CE3" w14:textId="61839226" w:rsidR="00CD471E" w:rsidRPr="00572B63" w:rsidRDefault="00CD471E" w:rsidP="003A387A">
            <w:pPr>
              <w:spacing w:after="0" w:line="240" w:lineRule="auto"/>
              <w:rPr>
                <w:rFonts w:ascii="Arial" w:eastAsia="Times New Roman" w:hAnsi="Arial" w:cs="Arial"/>
                <w:sz w:val="20"/>
                <w:szCs w:val="20"/>
                <w:lang w:eastAsia="pl-PL"/>
              </w:rPr>
            </w:pPr>
          </w:p>
        </w:tc>
        <w:tc>
          <w:tcPr>
            <w:tcW w:w="1941" w:type="pct"/>
            <w:shd w:val="clear" w:color="auto" w:fill="auto"/>
            <w:vAlign w:val="center"/>
          </w:tcPr>
          <w:p w14:paraId="4CC69847" w14:textId="485519DA" w:rsidR="00B270FD" w:rsidRPr="00B270FD" w:rsidRDefault="00B270FD" w:rsidP="00C8616C">
            <w:pPr>
              <w:pStyle w:val="Akapitzlist"/>
              <w:numPr>
                <w:ilvl w:val="0"/>
                <w:numId w:val="3"/>
              </w:numPr>
              <w:tabs>
                <w:tab w:val="left" w:pos="406"/>
              </w:tabs>
              <w:spacing w:after="0" w:line="240" w:lineRule="auto"/>
              <w:ind w:left="123" w:firstLine="0"/>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Negatywne opiniuję zapis o wskazaniu WIOŚ, że usytuowanie stacji pomiarowej przy ul. Piłsudskiego wśród wysokich zabudowań, gdzie zaburzony jest ruch mas powietrza, skutkuje utrudnieniem przewietrzania terenu, co może przekładać się m.in. na zwiększenie poziomu rejestrowanych stężeń zanieczyszczeń przez zanieczyszczenia komunikacyjne, szczególnie w</w:t>
            </w:r>
            <w:r w:rsidR="002D1B5B">
              <w:rPr>
                <w:rFonts w:ascii="Arial" w:eastAsia="Times New Roman" w:hAnsi="Arial" w:cs="Arial"/>
                <w:sz w:val="20"/>
                <w:szCs w:val="20"/>
                <w:lang w:eastAsia="pl-PL"/>
              </w:rPr>
              <w:t> </w:t>
            </w:r>
            <w:r w:rsidRPr="00B270FD">
              <w:rPr>
                <w:rFonts w:ascii="Arial" w:eastAsia="Times New Roman" w:hAnsi="Arial" w:cs="Arial"/>
                <w:sz w:val="20"/>
                <w:szCs w:val="20"/>
                <w:lang w:eastAsia="pl-PL"/>
              </w:rPr>
              <w:t>godzinach popołudniowych, kiedy jest wzmożony ruch komunikacyjny (spalanie paliw) oraz przez oddziaływanie emisji niskiej (duża ilość źródeł punktowych – piece węglowe, osiedla domków jednorodzinnych, jak również kamienice w centrum) w przypadku obniżenia temperatury powietrza.</w:t>
            </w:r>
          </w:p>
          <w:p w14:paraId="33E6FF24" w14:textId="321681C3" w:rsidR="00CD471E" w:rsidRDefault="00B270FD" w:rsidP="00B270FD">
            <w:pPr>
              <w:spacing w:after="0" w:line="240" w:lineRule="auto"/>
              <w:ind w:left="123"/>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Opinia wynika z wiedzy, iż substancja dwutlenku siarki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nie jest charakterystyczną dla ruchu komunikacyjnego, o czym też jest mowa w pkt. 1.3.6. PDK, który informuje, że nie wprowadza się ograniczeń ruchu pojazdów napędzanych silnikami spalinowymi do realizacji na terenie strefy aglomeracja szczecińska, ze względu na niewielki wpływ emisji pochodzącej z transportu na przekroczenia poziomów dopuszczalnych stężeń dwutlenku siarki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xml:space="preserve">). Ponadto, wielkość emisji dwutlenku siarki z komunikacji drogowej jest funkcją ilości siarki </w:t>
            </w:r>
            <w:r w:rsidRPr="00B270FD">
              <w:rPr>
                <w:rFonts w:ascii="Arial" w:eastAsia="Times New Roman" w:hAnsi="Arial" w:cs="Arial"/>
                <w:sz w:val="20"/>
                <w:szCs w:val="20"/>
                <w:lang w:eastAsia="pl-PL"/>
              </w:rPr>
              <w:lastRenderedPageBreak/>
              <w:t>w</w:t>
            </w:r>
            <w:r w:rsidR="002D1B5B">
              <w:rPr>
                <w:rFonts w:ascii="Arial" w:eastAsia="Times New Roman" w:hAnsi="Arial" w:cs="Arial"/>
                <w:sz w:val="20"/>
                <w:szCs w:val="20"/>
                <w:lang w:eastAsia="pl-PL"/>
              </w:rPr>
              <w:t> </w:t>
            </w:r>
            <w:r w:rsidRPr="00B270FD">
              <w:rPr>
                <w:rFonts w:ascii="Arial" w:eastAsia="Times New Roman" w:hAnsi="Arial" w:cs="Arial"/>
                <w:sz w:val="20"/>
                <w:szCs w:val="20"/>
                <w:lang w:eastAsia="pl-PL"/>
              </w:rPr>
              <w:t>paliwach, której zawartość jest znacząco ograniczona poprzez rozporządzenie Ministra Gospodarki z dnia 9 października 2015 r. w sprawie wymagań jakościowych dla paliw ciekłych (</w:t>
            </w:r>
            <w:proofErr w:type="spellStart"/>
            <w:r w:rsidRPr="00B270FD">
              <w:rPr>
                <w:rFonts w:ascii="Arial" w:eastAsia="Times New Roman" w:hAnsi="Arial" w:cs="Arial"/>
                <w:sz w:val="20"/>
                <w:szCs w:val="20"/>
                <w:lang w:eastAsia="pl-PL"/>
              </w:rPr>
              <w:t>t.j</w:t>
            </w:r>
            <w:proofErr w:type="spellEnd"/>
            <w:r w:rsidRPr="00B270FD">
              <w:rPr>
                <w:rFonts w:ascii="Arial" w:eastAsia="Times New Roman" w:hAnsi="Arial" w:cs="Arial"/>
                <w:sz w:val="20"/>
                <w:szCs w:val="20"/>
                <w:lang w:eastAsia="pl-PL"/>
              </w:rPr>
              <w:t>. Dz.U. z 2023 r., poz. 1314). Jak również w przypadku emisji niskiej w minionych okresach grzewczych nie odnotowano incydentu wystąpienia tak wysokiego, czy nawet w połowie tak wysokiego poziomu dwutlenku siarki (SO</w:t>
            </w:r>
            <w:r w:rsidRPr="00B270FD">
              <w:rPr>
                <w:rFonts w:ascii="Arial" w:eastAsia="Times New Roman" w:hAnsi="Arial" w:cs="Arial"/>
                <w:sz w:val="20"/>
                <w:szCs w:val="20"/>
                <w:vertAlign w:val="subscript"/>
                <w:lang w:eastAsia="pl-PL"/>
              </w:rPr>
              <w:t>2</w:t>
            </w:r>
            <w:r w:rsidRPr="00B270FD">
              <w:rPr>
                <w:rFonts w:ascii="Arial" w:eastAsia="Times New Roman" w:hAnsi="Arial" w:cs="Arial"/>
                <w:sz w:val="20"/>
                <w:szCs w:val="20"/>
                <w:lang w:eastAsia="pl-PL"/>
              </w:rPr>
              <w:t>) przy występujących znacznie ostrzejszych warunkach zimowych, jak to miało miejsce w</w:t>
            </w:r>
            <w:r w:rsidR="002D1B5B">
              <w:rPr>
                <w:rFonts w:ascii="Arial" w:eastAsia="Times New Roman" w:hAnsi="Arial" w:cs="Arial"/>
                <w:sz w:val="20"/>
                <w:szCs w:val="20"/>
                <w:lang w:eastAsia="pl-PL"/>
              </w:rPr>
              <w:t> </w:t>
            </w:r>
            <w:r w:rsidRPr="00B270FD">
              <w:rPr>
                <w:rFonts w:ascii="Arial" w:eastAsia="Times New Roman" w:hAnsi="Arial" w:cs="Arial"/>
                <w:sz w:val="20"/>
                <w:szCs w:val="20"/>
                <w:lang w:eastAsia="pl-PL"/>
              </w:rPr>
              <w:t>dniu 18.01.2023 r.</w:t>
            </w:r>
          </w:p>
        </w:tc>
        <w:tc>
          <w:tcPr>
            <w:tcW w:w="378" w:type="pct"/>
            <w:shd w:val="clear" w:color="auto" w:fill="auto"/>
            <w:vAlign w:val="center"/>
          </w:tcPr>
          <w:p w14:paraId="3FD6D747" w14:textId="1E10A742" w:rsidR="00CD471E" w:rsidRDefault="00CD471E" w:rsidP="003A387A">
            <w:pPr>
              <w:spacing w:after="0" w:line="240" w:lineRule="auto"/>
              <w:rPr>
                <w:rFonts w:ascii="Arial" w:eastAsia="Times New Roman" w:hAnsi="Arial" w:cs="Arial"/>
                <w:sz w:val="20"/>
                <w:szCs w:val="20"/>
                <w:lang w:eastAsia="pl-PL"/>
              </w:rPr>
            </w:pPr>
          </w:p>
        </w:tc>
        <w:tc>
          <w:tcPr>
            <w:tcW w:w="1356" w:type="pct"/>
            <w:shd w:val="clear" w:color="auto" w:fill="auto"/>
            <w:vAlign w:val="center"/>
          </w:tcPr>
          <w:p w14:paraId="1A214396" w14:textId="77777777" w:rsidR="00CD471E" w:rsidRDefault="001A3E9B" w:rsidP="00CB5B72">
            <w:pPr>
              <w:spacing w:after="0" w:line="240" w:lineRule="auto"/>
              <w:jc w:val="both"/>
              <w:rPr>
                <w:rFonts w:ascii="Arial" w:eastAsia="Times New Roman" w:hAnsi="Arial" w:cs="Arial"/>
                <w:sz w:val="20"/>
                <w:szCs w:val="20"/>
                <w:lang w:eastAsia="pl-PL"/>
              </w:rPr>
            </w:pPr>
            <w:r w:rsidRPr="001A3E9B">
              <w:rPr>
                <w:rFonts w:ascii="Arial" w:eastAsia="Times New Roman" w:hAnsi="Arial" w:cs="Arial"/>
                <w:sz w:val="20"/>
                <w:szCs w:val="20"/>
                <w:lang w:eastAsia="pl-PL"/>
              </w:rPr>
              <w:t>W związku z wystąpieniem w 2023 r. epizodu wysokich stężeń SO</w:t>
            </w:r>
            <w:r w:rsidRPr="00356DEE">
              <w:rPr>
                <w:rFonts w:ascii="Arial" w:eastAsia="Times New Roman" w:hAnsi="Arial" w:cs="Arial"/>
                <w:sz w:val="20"/>
                <w:szCs w:val="20"/>
                <w:vertAlign w:val="subscript"/>
                <w:lang w:eastAsia="pl-PL"/>
              </w:rPr>
              <w:t>2</w:t>
            </w:r>
            <w:r w:rsidRPr="001A3E9B">
              <w:rPr>
                <w:rFonts w:ascii="Arial" w:eastAsia="Times New Roman" w:hAnsi="Arial" w:cs="Arial"/>
                <w:sz w:val="20"/>
                <w:szCs w:val="20"/>
                <w:lang w:eastAsia="pl-PL"/>
              </w:rPr>
              <w:t>, Główny Inspektorat Ochrony Środowiska w</w:t>
            </w:r>
            <w:r w:rsidR="00356DEE">
              <w:rPr>
                <w:rFonts w:ascii="Arial" w:eastAsia="Times New Roman" w:hAnsi="Arial" w:cs="Arial"/>
                <w:sz w:val="20"/>
                <w:szCs w:val="20"/>
                <w:lang w:eastAsia="pl-PL"/>
              </w:rPr>
              <w:t> </w:t>
            </w:r>
            <w:r w:rsidRPr="001A3E9B">
              <w:rPr>
                <w:rFonts w:ascii="Arial" w:eastAsia="Times New Roman" w:hAnsi="Arial" w:cs="Arial"/>
                <w:sz w:val="20"/>
                <w:szCs w:val="20"/>
                <w:lang w:eastAsia="pl-PL"/>
              </w:rPr>
              <w:t>Warszawie, w 2024 r. rozszerzył wojewódzką sieć pomiarową o</w:t>
            </w:r>
            <w:r w:rsidR="00356DEE">
              <w:rPr>
                <w:rFonts w:ascii="Arial" w:eastAsia="Times New Roman" w:hAnsi="Arial" w:cs="Arial"/>
                <w:sz w:val="20"/>
                <w:szCs w:val="20"/>
                <w:lang w:eastAsia="pl-PL"/>
              </w:rPr>
              <w:t> </w:t>
            </w:r>
            <w:r w:rsidRPr="001A3E9B">
              <w:rPr>
                <w:rFonts w:ascii="Arial" w:eastAsia="Times New Roman" w:hAnsi="Arial" w:cs="Arial"/>
                <w:sz w:val="20"/>
                <w:szCs w:val="20"/>
                <w:lang w:eastAsia="pl-PL"/>
              </w:rPr>
              <w:t>stanowisko pomiarów dwutlenku siarki na stacji zlokalizowanej w Szczecinie przy ul. Łącznej.</w:t>
            </w:r>
          </w:p>
          <w:p w14:paraId="300D9869" w14:textId="3DF9C2A3" w:rsidR="00356DEE" w:rsidRDefault="00356DEE" w:rsidP="00CB5B72">
            <w:pPr>
              <w:spacing w:after="0" w:line="240" w:lineRule="auto"/>
              <w:jc w:val="both"/>
              <w:rPr>
                <w:rFonts w:ascii="Arial" w:eastAsia="Times New Roman" w:hAnsi="Arial" w:cs="Arial"/>
                <w:sz w:val="20"/>
                <w:szCs w:val="20"/>
                <w:lang w:eastAsia="pl-PL"/>
              </w:rPr>
            </w:pPr>
            <w:r w:rsidRPr="00356DEE">
              <w:rPr>
                <w:rFonts w:ascii="Arial" w:eastAsia="Times New Roman" w:hAnsi="Arial" w:cs="Arial"/>
                <w:sz w:val="20"/>
                <w:szCs w:val="20"/>
                <w:lang w:eastAsia="pl-PL"/>
              </w:rPr>
              <w:t>Należy zaznaczyć, iż w ramach prowadzenia procedury opracowywania PDK dla Szczecina w dniu 27 lutego 2024</w:t>
            </w:r>
            <w:r w:rsidR="00A142EE">
              <w:rPr>
                <w:rFonts w:ascii="Arial" w:eastAsia="Times New Roman" w:hAnsi="Arial" w:cs="Arial"/>
                <w:sz w:val="20"/>
                <w:szCs w:val="20"/>
                <w:lang w:eastAsia="pl-PL"/>
              </w:rPr>
              <w:t> </w:t>
            </w:r>
            <w:r w:rsidRPr="00356DEE">
              <w:rPr>
                <w:rFonts w:ascii="Arial" w:eastAsia="Times New Roman" w:hAnsi="Arial" w:cs="Arial"/>
                <w:sz w:val="20"/>
                <w:szCs w:val="20"/>
                <w:lang w:eastAsia="pl-PL"/>
              </w:rPr>
              <w:t>r. ponownie miał miejsce epizod wysokich stężeń SO</w:t>
            </w:r>
            <w:r w:rsidRPr="00356DEE">
              <w:rPr>
                <w:rFonts w:ascii="Arial" w:eastAsia="Times New Roman" w:hAnsi="Arial" w:cs="Arial"/>
                <w:sz w:val="20"/>
                <w:szCs w:val="20"/>
                <w:vertAlign w:val="subscript"/>
                <w:lang w:eastAsia="pl-PL"/>
              </w:rPr>
              <w:t>2</w:t>
            </w:r>
            <w:r w:rsidRPr="00356DEE">
              <w:rPr>
                <w:rFonts w:ascii="Arial" w:eastAsia="Times New Roman" w:hAnsi="Arial" w:cs="Arial"/>
                <w:sz w:val="20"/>
                <w:szCs w:val="20"/>
                <w:lang w:eastAsia="pl-PL"/>
              </w:rPr>
              <w:t>.</w:t>
            </w:r>
            <w:r>
              <w:rPr>
                <w:rFonts w:ascii="Arial" w:eastAsia="Times New Roman" w:hAnsi="Arial" w:cs="Arial"/>
                <w:sz w:val="20"/>
                <w:szCs w:val="20"/>
                <w:lang w:eastAsia="pl-PL"/>
              </w:rPr>
              <w:t xml:space="preserve"> W celu zidentyfikowania przyczyn występujących przekroczeń stężeń SO</w:t>
            </w:r>
            <w:r w:rsidRPr="00356DEE">
              <w:rPr>
                <w:rFonts w:ascii="Arial" w:eastAsia="Times New Roman" w:hAnsi="Arial" w:cs="Arial"/>
                <w:sz w:val="20"/>
                <w:szCs w:val="20"/>
                <w:vertAlign w:val="subscript"/>
                <w:lang w:eastAsia="pl-PL"/>
              </w:rPr>
              <w:t>2</w:t>
            </w:r>
            <w:r>
              <w:rPr>
                <w:rFonts w:ascii="Arial" w:eastAsia="Times New Roman" w:hAnsi="Arial" w:cs="Arial"/>
                <w:sz w:val="20"/>
                <w:szCs w:val="20"/>
                <w:lang w:eastAsia="pl-PL"/>
              </w:rPr>
              <w:t xml:space="preserve"> </w:t>
            </w:r>
            <w:r w:rsidRPr="00356DEE">
              <w:rPr>
                <w:rFonts w:ascii="Arial" w:eastAsia="Times New Roman" w:hAnsi="Arial" w:cs="Arial"/>
                <w:sz w:val="20"/>
                <w:szCs w:val="20"/>
                <w:lang w:eastAsia="pl-PL"/>
              </w:rPr>
              <w:t>inspektorzy WIOŚ w</w:t>
            </w:r>
            <w:r w:rsidR="00CB5B72">
              <w:rPr>
                <w:rFonts w:ascii="Arial" w:eastAsia="Times New Roman" w:hAnsi="Arial" w:cs="Arial"/>
                <w:sz w:val="20"/>
                <w:szCs w:val="20"/>
                <w:lang w:eastAsia="pl-PL"/>
              </w:rPr>
              <w:t> </w:t>
            </w:r>
            <w:r w:rsidRPr="00356DEE">
              <w:rPr>
                <w:rFonts w:ascii="Arial" w:eastAsia="Times New Roman" w:hAnsi="Arial" w:cs="Arial"/>
                <w:sz w:val="20"/>
                <w:szCs w:val="20"/>
                <w:lang w:eastAsia="pl-PL"/>
              </w:rPr>
              <w:t xml:space="preserve">Szczecinie </w:t>
            </w:r>
            <w:r>
              <w:rPr>
                <w:rFonts w:ascii="Arial" w:eastAsia="Times New Roman" w:hAnsi="Arial" w:cs="Arial"/>
                <w:sz w:val="20"/>
                <w:szCs w:val="20"/>
                <w:lang w:eastAsia="pl-PL"/>
              </w:rPr>
              <w:t xml:space="preserve">prowadzą </w:t>
            </w:r>
            <w:r w:rsidRPr="00356DEE">
              <w:rPr>
                <w:rFonts w:ascii="Arial" w:eastAsia="Times New Roman" w:hAnsi="Arial" w:cs="Arial"/>
                <w:sz w:val="20"/>
                <w:szCs w:val="20"/>
                <w:lang w:eastAsia="pl-PL"/>
              </w:rPr>
              <w:t>czynności wyjaśniając</w:t>
            </w:r>
            <w:r>
              <w:rPr>
                <w:rFonts w:ascii="Arial" w:eastAsia="Times New Roman" w:hAnsi="Arial" w:cs="Arial"/>
                <w:sz w:val="20"/>
                <w:szCs w:val="20"/>
                <w:lang w:eastAsia="pl-PL"/>
              </w:rPr>
              <w:t>e</w:t>
            </w:r>
            <w:r w:rsidRPr="00356DEE">
              <w:rPr>
                <w:rFonts w:ascii="Arial" w:eastAsia="Times New Roman" w:hAnsi="Arial" w:cs="Arial"/>
                <w:sz w:val="20"/>
                <w:szCs w:val="20"/>
                <w:lang w:eastAsia="pl-PL"/>
              </w:rPr>
              <w:t xml:space="preserve"> sytuację</w:t>
            </w:r>
            <w:r>
              <w:rPr>
                <w:rFonts w:ascii="Arial" w:eastAsia="Times New Roman" w:hAnsi="Arial" w:cs="Arial"/>
                <w:sz w:val="20"/>
                <w:szCs w:val="20"/>
                <w:lang w:eastAsia="pl-PL"/>
              </w:rPr>
              <w:t>.</w:t>
            </w:r>
            <w:r w:rsidRPr="00356DEE">
              <w:rPr>
                <w:rFonts w:ascii="Arial" w:eastAsia="Times New Roman" w:hAnsi="Arial" w:cs="Arial"/>
                <w:sz w:val="20"/>
                <w:szCs w:val="20"/>
                <w:lang w:eastAsia="pl-PL"/>
              </w:rPr>
              <w:t xml:space="preserve"> Dotychczasowe, wstępne, analizy wskazują, że tak znaczące przekroczenia poziomu dwutlenku siarki w powietrzu są następstwem przemysłowego zanieczyszczenia powietrza. Aktualnie nie przekazano jeszcze wiążących </w:t>
            </w:r>
            <w:r w:rsidRPr="00356DEE">
              <w:rPr>
                <w:rFonts w:ascii="Arial" w:eastAsia="Times New Roman" w:hAnsi="Arial" w:cs="Arial"/>
                <w:sz w:val="20"/>
                <w:szCs w:val="20"/>
                <w:lang w:eastAsia="pl-PL"/>
              </w:rPr>
              <w:lastRenderedPageBreak/>
              <w:t xml:space="preserve">informacji w niniejszej sprawie i tym samym nie </w:t>
            </w:r>
            <w:r>
              <w:rPr>
                <w:rFonts w:ascii="Arial" w:eastAsia="Times New Roman" w:hAnsi="Arial" w:cs="Arial"/>
                <w:sz w:val="20"/>
                <w:szCs w:val="20"/>
                <w:lang w:eastAsia="pl-PL"/>
              </w:rPr>
              <w:t>mogły</w:t>
            </w:r>
            <w:r w:rsidRPr="00356DEE">
              <w:rPr>
                <w:rFonts w:ascii="Arial" w:eastAsia="Times New Roman" w:hAnsi="Arial" w:cs="Arial"/>
                <w:sz w:val="20"/>
                <w:szCs w:val="20"/>
                <w:lang w:eastAsia="pl-PL"/>
              </w:rPr>
              <w:t xml:space="preserve"> one zostać ujęte w</w:t>
            </w:r>
            <w:r w:rsidR="00CB5B72">
              <w:rPr>
                <w:rFonts w:ascii="Arial" w:eastAsia="Times New Roman" w:hAnsi="Arial" w:cs="Arial"/>
                <w:sz w:val="20"/>
                <w:szCs w:val="20"/>
                <w:lang w:eastAsia="pl-PL"/>
              </w:rPr>
              <w:t> </w:t>
            </w:r>
            <w:r w:rsidRPr="00356DEE">
              <w:rPr>
                <w:rFonts w:ascii="Arial" w:eastAsia="Times New Roman" w:hAnsi="Arial" w:cs="Arial"/>
                <w:sz w:val="20"/>
                <w:szCs w:val="20"/>
                <w:lang w:eastAsia="pl-PL"/>
              </w:rPr>
              <w:t>przedmiotowym opracowaniu.</w:t>
            </w:r>
          </w:p>
        </w:tc>
        <w:tc>
          <w:tcPr>
            <w:tcW w:w="482" w:type="pct"/>
            <w:shd w:val="clear" w:color="auto" w:fill="auto"/>
            <w:vAlign w:val="center"/>
          </w:tcPr>
          <w:p w14:paraId="149CB0EA" w14:textId="6DD36B35" w:rsidR="00CD471E" w:rsidRDefault="001A3E9B"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Tak</w:t>
            </w:r>
          </w:p>
        </w:tc>
      </w:tr>
      <w:tr w:rsidR="00B41204" w:rsidRPr="00572B63" w14:paraId="65E0B0EC" w14:textId="77777777" w:rsidTr="002D1B5B">
        <w:trPr>
          <w:trHeight w:val="255"/>
        </w:trPr>
        <w:tc>
          <w:tcPr>
            <w:tcW w:w="145" w:type="pct"/>
            <w:shd w:val="clear" w:color="auto" w:fill="auto"/>
            <w:vAlign w:val="center"/>
          </w:tcPr>
          <w:p w14:paraId="3F4AC214" w14:textId="006922DD" w:rsidR="00B41204" w:rsidRPr="00572B63" w:rsidRDefault="00B41204" w:rsidP="003A387A">
            <w:pPr>
              <w:spacing w:after="0" w:line="240" w:lineRule="auto"/>
              <w:rPr>
                <w:rFonts w:ascii="Arial" w:eastAsia="Times New Roman" w:hAnsi="Arial" w:cs="Arial"/>
                <w:sz w:val="20"/>
                <w:szCs w:val="20"/>
                <w:lang w:eastAsia="pl-PL"/>
              </w:rPr>
            </w:pPr>
          </w:p>
        </w:tc>
        <w:tc>
          <w:tcPr>
            <w:tcW w:w="698" w:type="pct"/>
            <w:shd w:val="clear" w:color="auto" w:fill="auto"/>
            <w:vAlign w:val="center"/>
          </w:tcPr>
          <w:p w14:paraId="320440C0" w14:textId="41F8C9F9" w:rsidR="00B41204" w:rsidRPr="00572B63" w:rsidRDefault="00B41204" w:rsidP="003A387A">
            <w:pPr>
              <w:spacing w:after="0" w:line="240" w:lineRule="auto"/>
              <w:rPr>
                <w:rFonts w:ascii="Arial" w:eastAsia="Times New Roman" w:hAnsi="Arial" w:cs="Arial"/>
                <w:sz w:val="20"/>
                <w:szCs w:val="20"/>
                <w:lang w:eastAsia="pl-PL"/>
              </w:rPr>
            </w:pPr>
          </w:p>
        </w:tc>
        <w:tc>
          <w:tcPr>
            <w:tcW w:w="1941" w:type="pct"/>
            <w:shd w:val="clear" w:color="auto" w:fill="auto"/>
            <w:vAlign w:val="center"/>
          </w:tcPr>
          <w:p w14:paraId="6834C42A" w14:textId="6582B4B8" w:rsidR="00B41204" w:rsidRPr="00742DCC" w:rsidRDefault="00B270FD" w:rsidP="00C8616C">
            <w:pPr>
              <w:pStyle w:val="Akapitzlist"/>
              <w:numPr>
                <w:ilvl w:val="0"/>
                <w:numId w:val="3"/>
              </w:numPr>
              <w:tabs>
                <w:tab w:val="left" w:pos="548"/>
              </w:tabs>
              <w:spacing w:after="0" w:line="240" w:lineRule="auto"/>
              <w:ind w:left="123" w:firstLine="0"/>
              <w:jc w:val="both"/>
              <w:rPr>
                <w:rFonts w:ascii="Arial" w:eastAsia="Times New Roman" w:hAnsi="Arial" w:cs="Arial"/>
                <w:sz w:val="20"/>
                <w:szCs w:val="20"/>
                <w:lang w:eastAsia="pl-PL"/>
              </w:rPr>
            </w:pPr>
            <w:r w:rsidRPr="00742DCC">
              <w:rPr>
                <w:rFonts w:ascii="Arial" w:eastAsia="Times New Roman" w:hAnsi="Arial" w:cs="Arial"/>
                <w:sz w:val="20"/>
                <w:szCs w:val="20"/>
                <w:lang w:eastAsia="pl-PL"/>
              </w:rPr>
              <w:t>W projekcie PDK brakuje wzmianki o analizie sytuacji wystąpienia krótkotrwałego wysokiego poziomu dwutlenku siarki (SO</w:t>
            </w:r>
            <w:r w:rsidRPr="00742DCC">
              <w:rPr>
                <w:rFonts w:ascii="Arial" w:eastAsia="Times New Roman" w:hAnsi="Arial" w:cs="Arial"/>
                <w:sz w:val="20"/>
                <w:szCs w:val="20"/>
                <w:vertAlign w:val="subscript"/>
                <w:lang w:eastAsia="pl-PL"/>
              </w:rPr>
              <w:t>2</w:t>
            </w:r>
            <w:r w:rsidRPr="00742DCC">
              <w:rPr>
                <w:rFonts w:ascii="Arial" w:eastAsia="Times New Roman" w:hAnsi="Arial" w:cs="Arial"/>
                <w:sz w:val="20"/>
                <w:szCs w:val="20"/>
                <w:lang w:eastAsia="pl-PL"/>
              </w:rPr>
              <w:t>), pod kątem możliwości transgranicznego oddziaływania tej substancji, a także o</w:t>
            </w:r>
            <w:r w:rsidR="002D1B5B">
              <w:rPr>
                <w:rFonts w:ascii="Arial" w:eastAsia="Times New Roman" w:hAnsi="Arial" w:cs="Arial"/>
                <w:sz w:val="20"/>
                <w:szCs w:val="20"/>
                <w:lang w:eastAsia="pl-PL"/>
              </w:rPr>
              <w:t> </w:t>
            </w:r>
            <w:r w:rsidRPr="00742DCC">
              <w:rPr>
                <w:rFonts w:ascii="Arial" w:eastAsia="Times New Roman" w:hAnsi="Arial" w:cs="Arial"/>
                <w:sz w:val="20"/>
                <w:szCs w:val="20"/>
                <w:lang w:eastAsia="pl-PL"/>
              </w:rPr>
              <w:t>ewentualnych nowych instalacjach mogących emitować w 2023 r. dwutlenku siarki (SO</w:t>
            </w:r>
            <w:r w:rsidRPr="00742DCC">
              <w:rPr>
                <w:rFonts w:ascii="Arial" w:eastAsia="Times New Roman" w:hAnsi="Arial" w:cs="Arial"/>
                <w:sz w:val="20"/>
                <w:szCs w:val="20"/>
                <w:vertAlign w:val="subscript"/>
                <w:lang w:eastAsia="pl-PL"/>
              </w:rPr>
              <w:t>2</w:t>
            </w:r>
            <w:r w:rsidRPr="00742DCC">
              <w:rPr>
                <w:rFonts w:ascii="Arial" w:eastAsia="Times New Roman" w:hAnsi="Arial" w:cs="Arial"/>
                <w:sz w:val="20"/>
                <w:szCs w:val="20"/>
                <w:lang w:eastAsia="pl-PL"/>
              </w:rPr>
              <w:t>), jeśli takie były bądź nie.</w:t>
            </w:r>
          </w:p>
        </w:tc>
        <w:tc>
          <w:tcPr>
            <w:tcW w:w="378" w:type="pct"/>
            <w:shd w:val="clear" w:color="auto" w:fill="auto"/>
            <w:vAlign w:val="center"/>
          </w:tcPr>
          <w:p w14:paraId="4B5664DC" w14:textId="7FED4D9D" w:rsidR="00B41204" w:rsidRPr="00572B63" w:rsidRDefault="00B41204" w:rsidP="003A387A">
            <w:pPr>
              <w:spacing w:after="0" w:line="240" w:lineRule="auto"/>
              <w:rPr>
                <w:rFonts w:ascii="Arial" w:eastAsia="Times New Roman" w:hAnsi="Arial" w:cs="Arial"/>
                <w:sz w:val="20"/>
                <w:szCs w:val="20"/>
                <w:lang w:eastAsia="pl-PL"/>
              </w:rPr>
            </w:pPr>
          </w:p>
        </w:tc>
        <w:tc>
          <w:tcPr>
            <w:tcW w:w="1356" w:type="pct"/>
            <w:shd w:val="clear" w:color="auto" w:fill="auto"/>
            <w:vAlign w:val="center"/>
          </w:tcPr>
          <w:p w14:paraId="4C683173" w14:textId="6A3ECC5C" w:rsidR="00B41204" w:rsidRPr="00572B63" w:rsidRDefault="00100C39" w:rsidP="00CB5B72">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Zgodnie z </w:t>
            </w:r>
            <w:r w:rsidR="00804E68">
              <w:rPr>
                <w:rFonts w:ascii="Arial" w:eastAsia="Times New Roman" w:hAnsi="Arial" w:cs="Arial"/>
                <w:sz w:val="20"/>
                <w:szCs w:val="20"/>
                <w:lang w:eastAsia="pl-PL"/>
              </w:rPr>
              <w:t>art. 92a ustawy Prawo ochrony środowiska dla przypadku wystąpienia ryzyka przekroczeń poziomów spowodowanych zanieczyszczeniami przenoszonymi z terytorium innego państwa obowiązuje odrębna procedura opracowywania planów działań krótkoterminowych koordynowana przez ministra właściwego do spraw klimatu oraz Głównego Inspektora Ochrony Środowiska. Powyższe przepisy nie miały zastosowania przy opracowywaniu projektu Planu działań krótkoterminowych w zakresie SO</w:t>
            </w:r>
            <w:r w:rsidR="00804E68" w:rsidRPr="00804E68">
              <w:rPr>
                <w:rFonts w:ascii="Arial" w:eastAsia="Times New Roman" w:hAnsi="Arial" w:cs="Arial"/>
                <w:sz w:val="20"/>
                <w:szCs w:val="20"/>
                <w:vertAlign w:val="subscript"/>
                <w:lang w:eastAsia="pl-PL"/>
              </w:rPr>
              <w:t>2</w:t>
            </w:r>
            <w:r w:rsidR="00804E68">
              <w:rPr>
                <w:rFonts w:ascii="Arial" w:eastAsia="Times New Roman" w:hAnsi="Arial" w:cs="Arial"/>
                <w:sz w:val="20"/>
                <w:szCs w:val="20"/>
                <w:lang w:eastAsia="pl-PL"/>
              </w:rPr>
              <w:t xml:space="preserve"> dla strefy aglomeracja szczecińska.</w:t>
            </w:r>
          </w:p>
        </w:tc>
        <w:tc>
          <w:tcPr>
            <w:tcW w:w="482" w:type="pct"/>
            <w:shd w:val="clear" w:color="auto" w:fill="auto"/>
            <w:vAlign w:val="center"/>
          </w:tcPr>
          <w:p w14:paraId="543DE756" w14:textId="54E030C3" w:rsidR="00B41204" w:rsidRPr="00572B63" w:rsidRDefault="00A54BAF"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Nie</w:t>
            </w:r>
          </w:p>
        </w:tc>
      </w:tr>
      <w:tr w:rsidR="00B41204" w:rsidRPr="00572B63" w14:paraId="7FCD47FC" w14:textId="77777777" w:rsidTr="002D1B5B">
        <w:trPr>
          <w:trHeight w:val="255"/>
        </w:trPr>
        <w:tc>
          <w:tcPr>
            <w:tcW w:w="145" w:type="pct"/>
            <w:shd w:val="clear" w:color="auto" w:fill="auto"/>
            <w:vAlign w:val="center"/>
          </w:tcPr>
          <w:p w14:paraId="77F0300A" w14:textId="2DA58555" w:rsidR="00B41204" w:rsidRPr="00572B63" w:rsidRDefault="00B41204" w:rsidP="003A387A">
            <w:pPr>
              <w:spacing w:after="0" w:line="240" w:lineRule="auto"/>
              <w:rPr>
                <w:rFonts w:ascii="Arial" w:eastAsia="Times New Roman" w:hAnsi="Arial" w:cs="Arial"/>
                <w:sz w:val="20"/>
                <w:szCs w:val="20"/>
                <w:lang w:eastAsia="pl-PL"/>
              </w:rPr>
            </w:pPr>
          </w:p>
        </w:tc>
        <w:tc>
          <w:tcPr>
            <w:tcW w:w="698" w:type="pct"/>
            <w:shd w:val="clear" w:color="auto" w:fill="auto"/>
            <w:vAlign w:val="center"/>
          </w:tcPr>
          <w:p w14:paraId="546FD576" w14:textId="1CB6D8BD" w:rsidR="00B41204" w:rsidRPr="00572B63" w:rsidRDefault="00B41204" w:rsidP="003A387A">
            <w:pPr>
              <w:spacing w:after="0" w:line="240" w:lineRule="auto"/>
              <w:rPr>
                <w:rFonts w:ascii="Arial" w:eastAsia="Times New Roman" w:hAnsi="Arial" w:cs="Arial"/>
                <w:sz w:val="20"/>
                <w:szCs w:val="20"/>
                <w:lang w:eastAsia="pl-PL"/>
              </w:rPr>
            </w:pPr>
          </w:p>
        </w:tc>
        <w:tc>
          <w:tcPr>
            <w:tcW w:w="1941" w:type="pct"/>
            <w:shd w:val="clear" w:color="auto" w:fill="auto"/>
            <w:vAlign w:val="center"/>
          </w:tcPr>
          <w:p w14:paraId="751A64B9" w14:textId="3F7DEF53" w:rsidR="00B41204" w:rsidRPr="00742DCC" w:rsidRDefault="00B270FD" w:rsidP="00C8616C">
            <w:pPr>
              <w:pStyle w:val="Akapitzlist"/>
              <w:numPr>
                <w:ilvl w:val="0"/>
                <w:numId w:val="3"/>
              </w:numPr>
              <w:tabs>
                <w:tab w:val="left" w:pos="548"/>
              </w:tabs>
              <w:spacing w:after="0" w:line="240" w:lineRule="auto"/>
              <w:ind w:left="123" w:firstLine="0"/>
              <w:jc w:val="both"/>
              <w:rPr>
                <w:rFonts w:ascii="Arial" w:eastAsia="Times New Roman" w:hAnsi="Arial" w:cs="Arial"/>
                <w:sz w:val="20"/>
                <w:szCs w:val="20"/>
                <w:lang w:eastAsia="pl-PL"/>
              </w:rPr>
            </w:pPr>
            <w:r w:rsidRPr="00144C0D">
              <w:rPr>
                <w:rFonts w:ascii="Arial" w:eastAsia="Times New Roman" w:hAnsi="Arial" w:cs="Arial"/>
                <w:color w:val="000000" w:themeColor="text1"/>
                <w:sz w:val="20"/>
                <w:szCs w:val="20"/>
                <w:lang w:eastAsia="pl-PL"/>
              </w:rPr>
              <w:t>Wnoszę o doprecyzowanie w tabeli 6 Poziomy ostrzegania w ramach PDK, w kolumnie o rodzaju informacji dla poziomu I, okresy uśredniania dla poziomu dopuszczalnego o okresie uśredniania wyników pomiarów 24 godziny oraz dla poziomu dopuszczalnego o okresie uśredniania wyników pomiarów 1 godzina.</w:t>
            </w:r>
          </w:p>
        </w:tc>
        <w:tc>
          <w:tcPr>
            <w:tcW w:w="378" w:type="pct"/>
            <w:shd w:val="clear" w:color="auto" w:fill="auto"/>
            <w:vAlign w:val="center"/>
          </w:tcPr>
          <w:p w14:paraId="1096FE6D" w14:textId="4DC77A8B" w:rsidR="00B41204" w:rsidRPr="00572B63" w:rsidRDefault="00B41204" w:rsidP="003A387A">
            <w:pPr>
              <w:spacing w:after="0" w:line="240" w:lineRule="auto"/>
              <w:rPr>
                <w:rFonts w:ascii="Arial" w:eastAsia="Times New Roman" w:hAnsi="Arial" w:cs="Arial"/>
                <w:sz w:val="20"/>
                <w:szCs w:val="20"/>
                <w:lang w:eastAsia="pl-PL"/>
              </w:rPr>
            </w:pPr>
          </w:p>
        </w:tc>
        <w:tc>
          <w:tcPr>
            <w:tcW w:w="1356" w:type="pct"/>
            <w:shd w:val="clear" w:color="auto" w:fill="auto"/>
            <w:vAlign w:val="center"/>
          </w:tcPr>
          <w:p w14:paraId="0BAB60C3" w14:textId="667E07EC" w:rsidR="00B41204" w:rsidRPr="00572B63" w:rsidRDefault="00681037" w:rsidP="00CB5B72">
            <w:pPr>
              <w:spacing w:after="0" w:line="240" w:lineRule="auto"/>
              <w:jc w:val="both"/>
              <w:rPr>
                <w:rFonts w:ascii="Arial" w:eastAsia="Times New Roman" w:hAnsi="Arial" w:cs="Arial"/>
                <w:sz w:val="20"/>
                <w:szCs w:val="20"/>
                <w:lang w:eastAsia="pl-PL"/>
              </w:rPr>
            </w:pPr>
            <w:r w:rsidRPr="00681037">
              <w:rPr>
                <w:rFonts w:ascii="Arial" w:eastAsia="Times New Roman" w:hAnsi="Arial" w:cs="Arial"/>
                <w:sz w:val="20"/>
                <w:szCs w:val="20"/>
                <w:lang w:eastAsia="pl-PL"/>
              </w:rPr>
              <w:t>Zapisy zostały zmodyfikowane</w:t>
            </w:r>
          </w:p>
        </w:tc>
        <w:tc>
          <w:tcPr>
            <w:tcW w:w="482" w:type="pct"/>
            <w:shd w:val="clear" w:color="auto" w:fill="auto"/>
            <w:vAlign w:val="center"/>
          </w:tcPr>
          <w:p w14:paraId="48ABBF0E" w14:textId="57982AA6" w:rsidR="00B41204" w:rsidRPr="00572B63" w:rsidRDefault="00681037"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Tak</w:t>
            </w:r>
          </w:p>
        </w:tc>
      </w:tr>
      <w:tr w:rsidR="00B41204" w:rsidRPr="00572B63" w14:paraId="1FC34D88" w14:textId="77777777" w:rsidTr="002D1B5B">
        <w:trPr>
          <w:trHeight w:val="255"/>
        </w:trPr>
        <w:tc>
          <w:tcPr>
            <w:tcW w:w="145" w:type="pct"/>
            <w:shd w:val="clear" w:color="auto" w:fill="auto"/>
            <w:vAlign w:val="center"/>
          </w:tcPr>
          <w:p w14:paraId="014F8ED4" w14:textId="146121B3" w:rsidR="00B41204" w:rsidRPr="00572B63" w:rsidRDefault="00B41204" w:rsidP="003A387A">
            <w:pPr>
              <w:spacing w:after="0" w:line="240" w:lineRule="auto"/>
              <w:rPr>
                <w:rFonts w:ascii="Arial" w:eastAsia="Times New Roman" w:hAnsi="Arial" w:cs="Arial"/>
                <w:sz w:val="20"/>
                <w:szCs w:val="20"/>
                <w:lang w:eastAsia="pl-PL"/>
              </w:rPr>
            </w:pPr>
          </w:p>
        </w:tc>
        <w:tc>
          <w:tcPr>
            <w:tcW w:w="698" w:type="pct"/>
            <w:shd w:val="clear" w:color="auto" w:fill="auto"/>
            <w:vAlign w:val="center"/>
          </w:tcPr>
          <w:p w14:paraId="64270D4A" w14:textId="5C6B1DBF" w:rsidR="00B41204" w:rsidRPr="00572B63" w:rsidRDefault="00B41204" w:rsidP="003A387A">
            <w:pPr>
              <w:spacing w:after="0" w:line="240" w:lineRule="auto"/>
              <w:rPr>
                <w:rFonts w:ascii="Arial" w:eastAsia="Times New Roman" w:hAnsi="Arial" w:cs="Arial"/>
                <w:sz w:val="20"/>
                <w:szCs w:val="20"/>
                <w:lang w:eastAsia="pl-PL"/>
              </w:rPr>
            </w:pPr>
          </w:p>
        </w:tc>
        <w:tc>
          <w:tcPr>
            <w:tcW w:w="1941" w:type="pct"/>
            <w:shd w:val="clear" w:color="auto" w:fill="auto"/>
            <w:vAlign w:val="center"/>
          </w:tcPr>
          <w:p w14:paraId="4935CB84" w14:textId="7CCDFCC7" w:rsidR="00B41204" w:rsidRPr="00742DCC" w:rsidRDefault="00B270FD" w:rsidP="00C8616C">
            <w:pPr>
              <w:pStyle w:val="Akapitzlist"/>
              <w:numPr>
                <w:ilvl w:val="0"/>
                <w:numId w:val="3"/>
              </w:numPr>
              <w:tabs>
                <w:tab w:val="left" w:pos="548"/>
              </w:tabs>
              <w:spacing w:after="0" w:line="240" w:lineRule="auto"/>
              <w:ind w:left="123" w:firstLine="0"/>
              <w:jc w:val="both"/>
              <w:rPr>
                <w:rFonts w:ascii="Arial" w:eastAsia="Times New Roman" w:hAnsi="Arial" w:cs="Arial"/>
                <w:sz w:val="20"/>
                <w:szCs w:val="20"/>
                <w:lang w:eastAsia="pl-PL"/>
              </w:rPr>
            </w:pPr>
            <w:r w:rsidRPr="00742DCC">
              <w:rPr>
                <w:rFonts w:ascii="Arial" w:eastAsia="Times New Roman" w:hAnsi="Arial" w:cs="Arial"/>
                <w:sz w:val="20"/>
                <w:szCs w:val="20"/>
                <w:lang w:eastAsia="pl-PL"/>
              </w:rPr>
              <w:t>Wnoszę o ujednolicenie zapisów w PDK informacji o</w:t>
            </w:r>
            <w:r w:rsidR="002D1B5B">
              <w:rPr>
                <w:rFonts w:ascii="Arial" w:eastAsia="Times New Roman" w:hAnsi="Arial" w:cs="Arial"/>
                <w:sz w:val="20"/>
                <w:szCs w:val="20"/>
                <w:lang w:eastAsia="pl-PL"/>
              </w:rPr>
              <w:t> </w:t>
            </w:r>
            <w:r w:rsidRPr="00742DCC">
              <w:rPr>
                <w:rFonts w:ascii="Arial" w:eastAsia="Times New Roman" w:hAnsi="Arial" w:cs="Arial"/>
                <w:sz w:val="20"/>
                <w:szCs w:val="20"/>
                <w:lang w:eastAsia="pl-PL"/>
              </w:rPr>
              <w:t>podmiotach wskazanych do realizacji PDK (str. 16 PKD), odnoście informacji, że PDK wprowadza jedynie zapis dotyczący ograniczania emisji punktowej w przypadku zidentyfikowania źródła incydentalnych wysokich uwolnień dwutlenku siarki.</w:t>
            </w:r>
          </w:p>
        </w:tc>
        <w:tc>
          <w:tcPr>
            <w:tcW w:w="378" w:type="pct"/>
            <w:shd w:val="clear" w:color="auto" w:fill="auto"/>
            <w:vAlign w:val="center"/>
          </w:tcPr>
          <w:p w14:paraId="2FCD6105" w14:textId="78B4FFBC" w:rsidR="00B41204" w:rsidRPr="00572B63" w:rsidRDefault="00B41204" w:rsidP="003A387A">
            <w:pPr>
              <w:spacing w:after="0" w:line="240" w:lineRule="auto"/>
              <w:rPr>
                <w:rFonts w:ascii="Arial" w:eastAsia="Times New Roman" w:hAnsi="Arial" w:cs="Arial"/>
                <w:sz w:val="20"/>
                <w:szCs w:val="20"/>
                <w:lang w:eastAsia="pl-PL"/>
              </w:rPr>
            </w:pPr>
          </w:p>
        </w:tc>
        <w:tc>
          <w:tcPr>
            <w:tcW w:w="1356" w:type="pct"/>
            <w:shd w:val="clear" w:color="auto" w:fill="auto"/>
            <w:vAlign w:val="center"/>
          </w:tcPr>
          <w:p w14:paraId="0E04A82D" w14:textId="4123F135" w:rsidR="00B41204" w:rsidRPr="00572B63" w:rsidRDefault="003A7663" w:rsidP="00CB5B72">
            <w:pPr>
              <w:spacing w:after="0" w:line="240" w:lineRule="auto"/>
              <w:jc w:val="both"/>
              <w:rPr>
                <w:rFonts w:ascii="Arial" w:eastAsia="Times New Roman" w:hAnsi="Arial" w:cs="Arial"/>
                <w:sz w:val="20"/>
                <w:szCs w:val="20"/>
                <w:lang w:eastAsia="pl-PL"/>
              </w:rPr>
            </w:pPr>
            <w:r w:rsidRPr="003A7663">
              <w:rPr>
                <w:rFonts w:ascii="Arial" w:eastAsia="Times New Roman" w:hAnsi="Arial" w:cs="Arial"/>
                <w:sz w:val="20"/>
                <w:szCs w:val="20"/>
                <w:lang w:eastAsia="pl-PL"/>
              </w:rPr>
              <w:t>Zapisy zostały zmodyfikowane</w:t>
            </w:r>
          </w:p>
        </w:tc>
        <w:tc>
          <w:tcPr>
            <w:tcW w:w="482" w:type="pct"/>
            <w:shd w:val="clear" w:color="auto" w:fill="auto"/>
            <w:vAlign w:val="center"/>
          </w:tcPr>
          <w:p w14:paraId="63B4879C" w14:textId="3FF822EA" w:rsidR="00B41204" w:rsidRPr="00572B63" w:rsidRDefault="00144C0D"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Tak</w:t>
            </w:r>
          </w:p>
        </w:tc>
      </w:tr>
      <w:tr w:rsidR="00B41204" w:rsidRPr="00572B63" w14:paraId="56C1E533" w14:textId="77777777" w:rsidTr="002D1B5B">
        <w:trPr>
          <w:trHeight w:val="255"/>
        </w:trPr>
        <w:tc>
          <w:tcPr>
            <w:tcW w:w="145" w:type="pct"/>
            <w:shd w:val="clear" w:color="auto" w:fill="auto"/>
            <w:vAlign w:val="center"/>
          </w:tcPr>
          <w:p w14:paraId="2282166D" w14:textId="47979188" w:rsidR="00B41204" w:rsidRPr="00572B63" w:rsidRDefault="00B41204" w:rsidP="003A387A">
            <w:pPr>
              <w:spacing w:after="0" w:line="240" w:lineRule="auto"/>
              <w:rPr>
                <w:rFonts w:ascii="Arial" w:eastAsia="Times New Roman" w:hAnsi="Arial" w:cs="Arial"/>
                <w:sz w:val="20"/>
                <w:szCs w:val="20"/>
                <w:lang w:eastAsia="pl-PL"/>
              </w:rPr>
            </w:pPr>
          </w:p>
        </w:tc>
        <w:tc>
          <w:tcPr>
            <w:tcW w:w="698" w:type="pct"/>
            <w:shd w:val="clear" w:color="auto" w:fill="auto"/>
            <w:vAlign w:val="center"/>
          </w:tcPr>
          <w:p w14:paraId="73A31A07" w14:textId="40D85DE9" w:rsidR="00B41204" w:rsidRPr="00572B63" w:rsidRDefault="00B41204" w:rsidP="003A387A">
            <w:pPr>
              <w:spacing w:after="0" w:line="240" w:lineRule="auto"/>
              <w:rPr>
                <w:rFonts w:ascii="Arial" w:eastAsia="Times New Roman" w:hAnsi="Arial" w:cs="Arial"/>
                <w:sz w:val="20"/>
                <w:szCs w:val="20"/>
                <w:lang w:eastAsia="pl-PL"/>
              </w:rPr>
            </w:pPr>
          </w:p>
        </w:tc>
        <w:tc>
          <w:tcPr>
            <w:tcW w:w="1941" w:type="pct"/>
            <w:shd w:val="clear" w:color="auto" w:fill="auto"/>
            <w:vAlign w:val="center"/>
          </w:tcPr>
          <w:p w14:paraId="3D7D611D" w14:textId="1F8F50A6" w:rsidR="00B270FD" w:rsidRPr="00742DCC" w:rsidRDefault="00B270FD" w:rsidP="00C8616C">
            <w:pPr>
              <w:pStyle w:val="Akapitzlist"/>
              <w:numPr>
                <w:ilvl w:val="0"/>
                <w:numId w:val="3"/>
              </w:numPr>
              <w:tabs>
                <w:tab w:val="left" w:pos="548"/>
              </w:tabs>
              <w:spacing w:after="0" w:line="240" w:lineRule="auto"/>
              <w:ind w:left="123" w:firstLine="0"/>
              <w:jc w:val="both"/>
              <w:rPr>
                <w:rFonts w:ascii="Arial" w:eastAsia="Times New Roman" w:hAnsi="Arial" w:cs="Arial"/>
                <w:sz w:val="20"/>
                <w:szCs w:val="20"/>
                <w:lang w:eastAsia="pl-PL"/>
              </w:rPr>
            </w:pPr>
            <w:r w:rsidRPr="00742DCC">
              <w:rPr>
                <w:rFonts w:ascii="Arial" w:eastAsia="Times New Roman" w:hAnsi="Arial" w:cs="Arial"/>
                <w:sz w:val="20"/>
                <w:szCs w:val="20"/>
                <w:lang w:eastAsia="pl-PL"/>
              </w:rPr>
              <w:t>W punkcie dot. Sposobu postępowania organów administracji, podmiotów korzystających ze środowiska oraz osób fizycznych niebędących podmiotem korzystającym ze środowiska wskazano aby podmioty korzystające ze środowiska wyznaczone do realizacji działań w PDK:</w:t>
            </w:r>
          </w:p>
          <w:p w14:paraId="0E035C0C" w14:textId="734F1A58" w:rsidR="00B270FD" w:rsidRPr="00B270FD" w:rsidRDefault="00742DCC" w:rsidP="00B270F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sidR="00B270FD" w:rsidRPr="00B270FD">
              <w:rPr>
                <w:rFonts w:ascii="Arial" w:eastAsia="Times New Roman" w:hAnsi="Arial" w:cs="Arial"/>
                <w:sz w:val="20"/>
                <w:szCs w:val="20"/>
                <w:lang w:eastAsia="pl-PL"/>
              </w:rPr>
              <w:t xml:space="preserve"> wdrażały działania krótkoterminowe ograniczające wpływ na jakość powietrza źródeł emisji niezorganizowanej,</w:t>
            </w:r>
          </w:p>
          <w:p w14:paraId="31EEE8EA" w14:textId="2A4F5764" w:rsidR="00B270FD" w:rsidRPr="00B270FD" w:rsidRDefault="00742DCC" w:rsidP="00B270F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sidR="00B270FD" w:rsidRPr="00B270FD">
              <w:rPr>
                <w:rFonts w:ascii="Arial" w:eastAsia="Times New Roman" w:hAnsi="Arial" w:cs="Arial"/>
                <w:sz w:val="20"/>
                <w:szCs w:val="20"/>
                <w:lang w:eastAsia="pl-PL"/>
              </w:rPr>
              <w:t xml:space="preserve"> śledziły komunikaty przekazywane przez WCZK dotyczące działań wskazanych do realizacji w ramach PDK,</w:t>
            </w:r>
          </w:p>
          <w:p w14:paraId="532A74DB" w14:textId="356A2775" w:rsidR="00B41204" w:rsidRPr="00572B63" w:rsidRDefault="00B270FD" w:rsidP="00B270FD">
            <w:pPr>
              <w:spacing w:after="0" w:line="240" w:lineRule="auto"/>
              <w:jc w:val="both"/>
              <w:rPr>
                <w:rFonts w:ascii="Arial" w:eastAsia="Times New Roman" w:hAnsi="Arial" w:cs="Arial"/>
                <w:sz w:val="20"/>
                <w:szCs w:val="20"/>
                <w:lang w:eastAsia="pl-PL"/>
              </w:rPr>
            </w:pPr>
            <w:r w:rsidRPr="00B270FD">
              <w:rPr>
                <w:rFonts w:ascii="Arial" w:eastAsia="Times New Roman" w:hAnsi="Arial" w:cs="Arial"/>
                <w:sz w:val="20"/>
                <w:szCs w:val="20"/>
                <w:lang w:eastAsia="pl-PL"/>
              </w:rPr>
              <w:t>jednakże w PDK w treści nie zostały wskazane te podmioty (nie zostały wymienione).</w:t>
            </w:r>
          </w:p>
        </w:tc>
        <w:tc>
          <w:tcPr>
            <w:tcW w:w="378" w:type="pct"/>
            <w:shd w:val="clear" w:color="auto" w:fill="auto"/>
            <w:vAlign w:val="center"/>
          </w:tcPr>
          <w:p w14:paraId="1ED1C835" w14:textId="52C3B5F3" w:rsidR="00B41204" w:rsidRPr="00572B63" w:rsidRDefault="00B41204" w:rsidP="003A387A">
            <w:pPr>
              <w:spacing w:after="0" w:line="240" w:lineRule="auto"/>
              <w:rPr>
                <w:rFonts w:ascii="Arial" w:eastAsia="Times New Roman" w:hAnsi="Arial" w:cs="Arial"/>
                <w:sz w:val="20"/>
                <w:szCs w:val="20"/>
                <w:lang w:eastAsia="pl-PL"/>
              </w:rPr>
            </w:pPr>
          </w:p>
        </w:tc>
        <w:tc>
          <w:tcPr>
            <w:tcW w:w="1356" w:type="pct"/>
            <w:shd w:val="clear" w:color="auto" w:fill="auto"/>
            <w:vAlign w:val="center"/>
          </w:tcPr>
          <w:p w14:paraId="70FA5A24" w14:textId="079C21FC" w:rsidR="00B41204" w:rsidRPr="00572B63" w:rsidRDefault="00594E04" w:rsidP="00CB5B72">
            <w:pPr>
              <w:spacing w:after="0" w:line="240" w:lineRule="auto"/>
              <w:jc w:val="both"/>
              <w:rPr>
                <w:rFonts w:ascii="Arial" w:eastAsia="Times New Roman" w:hAnsi="Arial" w:cs="Arial"/>
                <w:sz w:val="20"/>
                <w:szCs w:val="20"/>
                <w:lang w:eastAsia="pl-PL"/>
              </w:rPr>
            </w:pPr>
            <w:r w:rsidRPr="00594E04">
              <w:rPr>
                <w:rFonts w:ascii="Arial" w:eastAsia="Times New Roman" w:hAnsi="Arial" w:cs="Arial"/>
                <w:sz w:val="20"/>
                <w:szCs w:val="20"/>
                <w:lang w:eastAsia="pl-PL"/>
              </w:rPr>
              <w:t>Zapisy zostały zmodyfikowane</w:t>
            </w:r>
          </w:p>
        </w:tc>
        <w:tc>
          <w:tcPr>
            <w:tcW w:w="482" w:type="pct"/>
            <w:shd w:val="clear" w:color="auto" w:fill="auto"/>
            <w:vAlign w:val="center"/>
          </w:tcPr>
          <w:p w14:paraId="4F60FC75" w14:textId="4DE93A32" w:rsidR="00B41204" w:rsidRPr="00572B63" w:rsidRDefault="00144C0D" w:rsidP="003A387A">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Tak</w:t>
            </w:r>
          </w:p>
        </w:tc>
      </w:tr>
    </w:tbl>
    <w:p w14:paraId="572A73CB" w14:textId="77777777" w:rsidR="0047393F" w:rsidRDefault="0047393F" w:rsidP="003A387A"/>
    <w:sectPr w:rsidR="0047393F" w:rsidSect="009A422D">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05883" w14:textId="77777777" w:rsidR="00C972B7" w:rsidRDefault="00C972B7" w:rsidP="00C564FE">
      <w:pPr>
        <w:spacing w:after="0" w:line="240" w:lineRule="auto"/>
      </w:pPr>
      <w:r>
        <w:separator/>
      </w:r>
    </w:p>
  </w:endnote>
  <w:endnote w:type="continuationSeparator" w:id="0">
    <w:p w14:paraId="5B7BDDCC" w14:textId="77777777" w:rsidR="00C972B7" w:rsidRDefault="00C972B7" w:rsidP="00C5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Light SemiExt">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951519"/>
      <w:docPartObj>
        <w:docPartGallery w:val="Page Numbers (Bottom of Page)"/>
        <w:docPartUnique/>
      </w:docPartObj>
    </w:sdtPr>
    <w:sdtEndPr/>
    <w:sdtContent>
      <w:p w14:paraId="2617368A" w14:textId="77777777" w:rsidR="00C564FE" w:rsidRDefault="008E5AA2">
        <w:pPr>
          <w:pStyle w:val="Stopka"/>
          <w:jc w:val="center"/>
        </w:pPr>
        <w:r>
          <w:fldChar w:fldCharType="begin"/>
        </w:r>
        <w:r w:rsidR="00C564FE">
          <w:instrText>PAGE   \* MERGEFORMAT</w:instrText>
        </w:r>
        <w:r>
          <w:fldChar w:fldCharType="separate"/>
        </w:r>
        <w:r w:rsidR="001F26AC">
          <w:rPr>
            <w:noProof/>
          </w:rPr>
          <w:t>10</w:t>
        </w:r>
        <w:r>
          <w:fldChar w:fldCharType="end"/>
        </w:r>
      </w:p>
    </w:sdtContent>
  </w:sdt>
  <w:p w14:paraId="639411AA" w14:textId="77777777" w:rsidR="00C564FE" w:rsidRDefault="00C564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C1F92" w14:textId="77777777" w:rsidR="00C972B7" w:rsidRDefault="00C972B7" w:rsidP="00C564FE">
      <w:pPr>
        <w:spacing w:after="0" w:line="240" w:lineRule="auto"/>
      </w:pPr>
      <w:r>
        <w:separator/>
      </w:r>
    </w:p>
  </w:footnote>
  <w:footnote w:type="continuationSeparator" w:id="0">
    <w:p w14:paraId="1EAD5B8A" w14:textId="77777777" w:rsidR="00C972B7" w:rsidRDefault="00C972B7" w:rsidP="00C56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C01"/>
    <w:multiLevelType w:val="hybridMultilevel"/>
    <w:tmpl w:val="268AC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C231D3F"/>
    <w:multiLevelType w:val="hybridMultilevel"/>
    <w:tmpl w:val="539AC3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EF86442"/>
    <w:multiLevelType w:val="hybridMultilevel"/>
    <w:tmpl w:val="1814FE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AE4A13"/>
    <w:multiLevelType w:val="hybridMultilevel"/>
    <w:tmpl w:val="831415CA"/>
    <w:lvl w:ilvl="0" w:tplc="F5F0A30C">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F"/>
    <w:rsid w:val="00041CF9"/>
    <w:rsid w:val="000A2C0A"/>
    <w:rsid w:val="000B2EBE"/>
    <w:rsid w:val="000E0AE4"/>
    <w:rsid w:val="00100C39"/>
    <w:rsid w:val="00104188"/>
    <w:rsid w:val="00126E77"/>
    <w:rsid w:val="00144C0D"/>
    <w:rsid w:val="00160ECC"/>
    <w:rsid w:val="001628F7"/>
    <w:rsid w:val="001A24D0"/>
    <w:rsid w:val="001A3E9B"/>
    <w:rsid w:val="001C7CAB"/>
    <w:rsid w:val="001D7D7D"/>
    <w:rsid w:val="001F26AC"/>
    <w:rsid w:val="0020172D"/>
    <w:rsid w:val="00204144"/>
    <w:rsid w:val="00231491"/>
    <w:rsid w:val="00235E0A"/>
    <w:rsid w:val="002B10A5"/>
    <w:rsid w:val="002D1B5B"/>
    <w:rsid w:val="002D3926"/>
    <w:rsid w:val="003120E3"/>
    <w:rsid w:val="0031404B"/>
    <w:rsid w:val="00356DEE"/>
    <w:rsid w:val="0038092C"/>
    <w:rsid w:val="003A387A"/>
    <w:rsid w:val="003A7663"/>
    <w:rsid w:val="00414CBF"/>
    <w:rsid w:val="00453F24"/>
    <w:rsid w:val="0046167B"/>
    <w:rsid w:val="0047393F"/>
    <w:rsid w:val="00480496"/>
    <w:rsid w:val="004C4F15"/>
    <w:rsid w:val="004F7161"/>
    <w:rsid w:val="005226E1"/>
    <w:rsid w:val="00526FBA"/>
    <w:rsid w:val="00535CE0"/>
    <w:rsid w:val="005419B5"/>
    <w:rsid w:val="00561BA9"/>
    <w:rsid w:val="00564864"/>
    <w:rsid w:val="00565FB0"/>
    <w:rsid w:val="00572B63"/>
    <w:rsid w:val="00594E04"/>
    <w:rsid w:val="005E3162"/>
    <w:rsid w:val="006260A8"/>
    <w:rsid w:val="006334B6"/>
    <w:rsid w:val="00681037"/>
    <w:rsid w:val="00691E68"/>
    <w:rsid w:val="0069415D"/>
    <w:rsid w:val="006A308F"/>
    <w:rsid w:val="006B0901"/>
    <w:rsid w:val="00702F46"/>
    <w:rsid w:val="00724251"/>
    <w:rsid w:val="007356DA"/>
    <w:rsid w:val="00742DCC"/>
    <w:rsid w:val="007C2D95"/>
    <w:rsid w:val="007D60D8"/>
    <w:rsid w:val="007F40A9"/>
    <w:rsid w:val="00800655"/>
    <w:rsid w:val="00804E68"/>
    <w:rsid w:val="0081040B"/>
    <w:rsid w:val="008670F8"/>
    <w:rsid w:val="008704EF"/>
    <w:rsid w:val="00870CE3"/>
    <w:rsid w:val="00876C6F"/>
    <w:rsid w:val="008C4643"/>
    <w:rsid w:val="008E5AA2"/>
    <w:rsid w:val="008F429F"/>
    <w:rsid w:val="00900DCD"/>
    <w:rsid w:val="00902095"/>
    <w:rsid w:val="00916874"/>
    <w:rsid w:val="00923E22"/>
    <w:rsid w:val="009271AD"/>
    <w:rsid w:val="00987018"/>
    <w:rsid w:val="009A422D"/>
    <w:rsid w:val="00A142EE"/>
    <w:rsid w:val="00A27C5F"/>
    <w:rsid w:val="00A33EA6"/>
    <w:rsid w:val="00A54BAF"/>
    <w:rsid w:val="00AC52D2"/>
    <w:rsid w:val="00AD5213"/>
    <w:rsid w:val="00AD6C50"/>
    <w:rsid w:val="00B011B9"/>
    <w:rsid w:val="00B270FD"/>
    <w:rsid w:val="00B41204"/>
    <w:rsid w:val="00B465B2"/>
    <w:rsid w:val="00B51BAA"/>
    <w:rsid w:val="00B5612D"/>
    <w:rsid w:val="00B73670"/>
    <w:rsid w:val="00B80EA2"/>
    <w:rsid w:val="00BB044A"/>
    <w:rsid w:val="00BB599C"/>
    <w:rsid w:val="00BD67C8"/>
    <w:rsid w:val="00BF0305"/>
    <w:rsid w:val="00C34B97"/>
    <w:rsid w:val="00C47193"/>
    <w:rsid w:val="00C564FE"/>
    <w:rsid w:val="00C57FC9"/>
    <w:rsid w:val="00C736D9"/>
    <w:rsid w:val="00C8616C"/>
    <w:rsid w:val="00C972B7"/>
    <w:rsid w:val="00CB5B72"/>
    <w:rsid w:val="00CD471E"/>
    <w:rsid w:val="00D22A5A"/>
    <w:rsid w:val="00D3490E"/>
    <w:rsid w:val="00DA4011"/>
    <w:rsid w:val="00DC3354"/>
    <w:rsid w:val="00DE00D5"/>
    <w:rsid w:val="00DE7D3F"/>
    <w:rsid w:val="00E13DD8"/>
    <w:rsid w:val="00E25D4D"/>
    <w:rsid w:val="00E36CB2"/>
    <w:rsid w:val="00F35755"/>
    <w:rsid w:val="00F46290"/>
    <w:rsid w:val="00F803C3"/>
    <w:rsid w:val="00FA07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80FD"/>
  <w15:docId w15:val="{69A7FA3B-69F9-423A-8CDC-CF77E8C6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739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393F"/>
    <w:rPr>
      <w:rFonts w:ascii="Segoe UI" w:hAnsi="Segoe UI" w:cs="Segoe UI"/>
      <w:sz w:val="18"/>
      <w:szCs w:val="18"/>
    </w:rPr>
  </w:style>
  <w:style w:type="paragraph" w:styleId="Nagwek">
    <w:name w:val="header"/>
    <w:basedOn w:val="Normalny"/>
    <w:link w:val="NagwekZnak"/>
    <w:uiPriority w:val="99"/>
    <w:unhideWhenUsed/>
    <w:rsid w:val="00C564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4FE"/>
  </w:style>
  <w:style w:type="paragraph" w:styleId="Stopka">
    <w:name w:val="footer"/>
    <w:basedOn w:val="Normalny"/>
    <w:link w:val="StopkaZnak"/>
    <w:uiPriority w:val="99"/>
    <w:unhideWhenUsed/>
    <w:rsid w:val="00C564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4FE"/>
  </w:style>
  <w:style w:type="character" w:styleId="Odwoaniedokomentarza">
    <w:name w:val="annotation reference"/>
    <w:basedOn w:val="Domylnaczcionkaakapitu"/>
    <w:uiPriority w:val="99"/>
    <w:semiHidden/>
    <w:unhideWhenUsed/>
    <w:rsid w:val="00902095"/>
    <w:rPr>
      <w:sz w:val="16"/>
      <w:szCs w:val="16"/>
    </w:rPr>
  </w:style>
  <w:style w:type="paragraph" w:styleId="Tekstkomentarza">
    <w:name w:val="annotation text"/>
    <w:basedOn w:val="Normalny"/>
    <w:link w:val="TekstkomentarzaZnak"/>
    <w:uiPriority w:val="99"/>
    <w:unhideWhenUsed/>
    <w:rsid w:val="00902095"/>
    <w:pPr>
      <w:spacing w:line="240" w:lineRule="auto"/>
    </w:pPr>
    <w:rPr>
      <w:sz w:val="20"/>
      <w:szCs w:val="20"/>
    </w:rPr>
  </w:style>
  <w:style w:type="character" w:customStyle="1" w:styleId="TekstkomentarzaZnak">
    <w:name w:val="Tekst komentarza Znak"/>
    <w:basedOn w:val="Domylnaczcionkaakapitu"/>
    <w:link w:val="Tekstkomentarza"/>
    <w:uiPriority w:val="99"/>
    <w:rsid w:val="00902095"/>
    <w:rPr>
      <w:sz w:val="20"/>
      <w:szCs w:val="20"/>
    </w:rPr>
  </w:style>
  <w:style w:type="paragraph" w:styleId="Tematkomentarza">
    <w:name w:val="annotation subject"/>
    <w:basedOn w:val="Tekstkomentarza"/>
    <w:next w:val="Tekstkomentarza"/>
    <w:link w:val="TematkomentarzaZnak"/>
    <w:uiPriority w:val="99"/>
    <w:semiHidden/>
    <w:unhideWhenUsed/>
    <w:rsid w:val="00F46290"/>
    <w:rPr>
      <w:b/>
      <w:bCs/>
    </w:rPr>
  </w:style>
  <w:style w:type="character" w:customStyle="1" w:styleId="TematkomentarzaZnak">
    <w:name w:val="Temat komentarza Znak"/>
    <w:basedOn w:val="TekstkomentarzaZnak"/>
    <w:link w:val="Tematkomentarza"/>
    <w:uiPriority w:val="99"/>
    <w:semiHidden/>
    <w:rsid w:val="00F46290"/>
    <w:rPr>
      <w:b/>
      <w:bCs/>
      <w:sz w:val="20"/>
      <w:szCs w:val="20"/>
    </w:rPr>
  </w:style>
  <w:style w:type="paragraph" w:styleId="Akapitzlist">
    <w:name w:val="List Paragraph"/>
    <w:basedOn w:val="Normalny"/>
    <w:uiPriority w:val="34"/>
    <w:qFormat/>
    <w:rsid w:val="00526FBA"/>
    <w:pPr>
      <w:ind w:left="720"/>
      <w:contextualSpacing/>
    </w:pPr>
  </w:style>
  <w:style w:type="paragraph" w:styleId="Poprawka">
    <w:name w:val="Revision"/>
    <w:hidden/>
    <w:uiPriority w:val="99"/>
    <w:semiHidden/>
    <w:rsid w:val="00F35755"/>
    <w:pPr>
      <w:spacing w:after="0" w:line="240" w:lineRule="auto"/>
    </w:pPr>
  </w:style>
  <w:style w:type="paragraph" w:styleId="Tekstprzypisukocowego">
    <w:name w:val="endnote text"/>
    <w:basedOn w:val="Normalny"/>
    <w:link w:val="TekstprzypisukocowegoZnak"/>
    <w:uiPriority w:val="99"/>
    <w:semiHidden/>
    <w:unhideWhenUsed/>
    <w:rsid w:val="00B51B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1BAA"/>
    <w:rPr>
      <w:sz w:val="20"/>
      <w:szCs w:val="20"/>
    </w:rPr>
  </w:style>
  <w:style w:type="character" w:styleId="Odwoanieprzypisukocowego">
    <w:name w:val="endnote reference"/>
    <w:basedOn w:val="Domylnaczcionkaakapitu"/>
    <w:uiPriority w:val="99"/>
    <w:semiHidden/>
    <w:unhideWhenUsed/>
    <w:rsid w:val="00B51B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67468">
      <w:bodyDiv w:val="1"/>
      <w:marLeft w:val="0"/>
      <w:marRight w:val="0"/>
      <w:marTop w:val="0"/>
      <w:marBottom w:val="0"/>
      <w:divBdr>
        <w:top w:val="none" w:sz="0" w:space="0" w:color="auto"/>
        <w:left w:val="none" w:sz="0" w:space="0" w:color="auto"/>
        <w:bottom w:val="none" w:sz="0" w:space="0" w:color="auto"/>
        <w:right w:val="none" w:sz="0" w:space="0" w:color="auto"/>
      </w:divBdr>
      <w:divsChild>
        <w:div w:id="1293753304">
          <w:marLeft w:val="0"/>
          <w:marRight w:val="0"/>
          <w:marTop w:val="0"/>
          <w:marBottom w:val="0"/>
          <w:divBdr>
            <w:top w:val="none" w:sz="0" w:space="0" w:color="auto"/>
            <w:left w:val="none" w:sz="0" w:space="0" w:color="auto"/>
            <w:bottom w:val="none" w:sz="0" w:space="0" w:color="auto"/>
            <w:right w:val="none" w:sz="0" w:space="0" w:color="auto"/>
          </w:divBdr>
          <w:divsChild>
            <w:div w:id="1547596230">
              <w:marLeft w:val="0"/>
              <w:marRight w:val="0"/>
              <w:marTop w:val="0"/>
              <w:marBottom w:val="0"/>
              <w:divBdr>
                <w:top w:val="none" w:sz="0" w:space="0" w:color="auto"/>
                <w:left w:val="none" w:sz="0" w:space="0" w:color="auto"/>
                <w:bottom w:val="none" w:sz="0" w:space="0" w:color="auto"/>
                <w:right w:val="none" w:sz="0" w:space="0" w:color="auto"/>
              </w:divBdr>
            </w:div>
            <w:div w:id="888372937">
              <w:marLeft w:val="0"/>
              <w:marRight w:val="0"/>
              <w:marTop w:val="0"/>
              <w:marBottom w:val="0"/>
              <w:divBdr>
                <w:top w:val="none" w:sz="0" w:space="0" w:color="auto"/>
                <w:left w:val="none" w:sz="0" w:space="0" w:color="auto"/>
                <w:bottom w:val="none" w:sz="0" w:space="0" w:color="auto"/>
                <w:right w:val="none" w:sz="0" w:space="0" w:color="auto"/>
              </w:divBdr>
              <w:divsChild>
                <w:div w:id="1911497842">
                  <w:marLeft w:val="0"/>
                  <w:marRight w:val="0"/>
                  <w:marTop w:val="0"/>
                  <w:marBottom w:val="0"/>
                  <w:divBdr>
                    <w:top w:val="none" w:sz="0" w:space="0" w:color="auto"/>
                    <w:left w:val="none" w:sz="0" w:space="0" w:color="auto"/>
                    <w:bottom w:val="none" w:sz="0" w:space="0" w:color="auto"/>
                    <w:right w:val="none" w:sz="0" w:space="0" w:color="auto"/>
                  </w:divBdr>
                </w:div>
              </w:divsChild>
            </w:div>
            <w:div w:id="1253929682">
              <w:marLeft w:val="0"/>
              <w:marRight w:val="0"/>
              <w:marTop w:val="0"/>
              <w:marBottom w:val="0"/>
              <w:divBdr>
                <w:top w:val="none" w:sz="0" w:space="0" w:color="auto"/>
                <w:left w:val="none" w:sz="0" w:space="0" w:color="auto"/>
                <w:bottom w:val="none" w:sz="0" w:space="0" w:color="auto"/>
                <w:right w:val="none" w:sz="0" w:space="0" w:color="auto"/>
              </w:divBdr>
              <w:divsChild>
                <w:div w:id="516577335">
                  <w:marLeft w:val="0"/>
                  <w:marRight w:val="0"/>
                  <w:marTop w:val="0"/>
                  <w:marBottom w:val="0"/>
                  <w:divBdr>
                    <w:top w:val="none" w:sz="0" w:space="0" w:color="auto"/>
                    <w:left w:val="none" w:sz="0" w:space="0" w:color="auto"/>
                    <w:bottom w:val="none" w:sz="0" w:space="0" w:color="auto"/>
                    <w:right w:val="none" w:sz="0" w:space="0" w:color="auto"/>
                  </w:divBdr>
                </w:div>
              </w:divsChild>
            </w:div>
            <w:div w:id="130099587">
              <w:marLeft w:val="0"/>
              <w:marRight w:val="0"/>
              <w:marTop w:val="0"/>
              <w:marBottom w:val="0"/>
              <w:divBdr>
                <w:top w:val="none" w:sz="0" w:space="0" w:color="auto"/>
                <w:left w:val="none" w:sz="0" w:space="0" w:color="auto"/>
                <w:bottom w:val="none" w:sz="0" w:space="0" w:color="auto"/>
                <w:right w:val="none" w:sz="0" w:space="0" w:color="auto"/>
              </w:divBdr>
              <w:divsChild>
                <w:div w:id="2094206517">
                  <w:marLeft w:val="0"/>
                  <w:marRight w:val="0"/>
                  <w:marTop w:val="0"/>
                  <w:marBottom w:val="0"/>
                  <w:divBdr>
                    <w:top w:val="none" w:sz="0" w:space="0" w:color="auto"/>
                    <w:left w:val="none" w:sz="0" w:space="0" w:color="auto"/>
                    <w:bottom w:val="none" w:sz="0" w:space="0" w:color="auto"/>
                    <w:right w:val="none" w:sz="0" w:space="0" w:color="auto"/>
                  </w:divBdr>
                </w:div>
              </w:divsChild>
            </w:div>
            <w:div w:id="1477599400">
              <w:marLeft w:val="0"/>
              <w:marRight w:val="0"/>
              <w:marTop w:val="0"/>
              <w:marBottom w:val="0"/>
              <w:divBdr>
                <w:top w:val="none" w:sz="0" w:space="0" w:color="auto"/>
                <w:left w:val="none" w:sz="0" w:space="0" w:color="auto"/>
                <w:bottom w:val="none" w:sz="0" w:space="0" w:color="auto"/>
                <w:right w:val="none" w:sz="0" w:space="0" w:color="auto"/>
              </w:divBdr>
              <w:divsChild>
                <w:div w:id="340788457">
                  <w:marLeft w:val="0"/>
                  <w:marRight w:val="0"/>
                  <w:marTop w:val="0"/>
                  <w:marBottom w:val="0"/>
                  <w:divBdr>
                    <w:top w:val="none" w:sz="0" w:space="0" w:color="auto"/>
                    <w:left w:val="none" w:sz="0" w:space="0" w:color="auto"/>
                    <w:bottom w:val="none" w:sz="0" w:space="0" w:color="auto"/>
                    <w:right w:val="none" w:sz="0" w:space="0" w:color="auto"/>
                  </w:divBdr>
                </w:div>
              </w:divsChild>
            </w:div>
            <w:div w:id="1251936849">
              <w:marLeft w:val="0"/>
              <w:marRight w:val="0"/>
              <w:marTop w:val="0"/>
              <w:marBottom w:val="0"/>
              <w:divBdr>
                <w:top w:val="none" w:sz="0" w:space="0" w:color="auto"/>
                <w:left w:val="none" w:sz="0" w:space="0" w:color="auto"/>
                <w:bottom w:val="none" w:sz="0" w:space="0" w:color="auto"/>
                <w:right w:val="none" w:sz="0" w:space="0" w:color="auto"/>
              </w:divBdr>
              <w:divsChild>
                <w:div w:id="5197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22448">
      <w:bodyDiv w:val="1"/>
      <w:marLeft w:val="0"/>
      <w:marRight w:val="0"/>
      <w:marTop w:val="0"/>
      <w:marBottom w:val="0"/>
      <w:divBdr>
        <w:top w:val="none" w:sz="0" w:space="0" w:color="auto"/>
        <w:left w:val="none" w:sz="0" w:space="0" w:color="auto"/>
        <w:bottom w:val="none" w:sz="0" w:space="0" w:color="auto"/>
        <w:right w:val="none" w:sz="0" w:space="0" w:color="auto"/>
      </w:divBdr>
    </w:div>
    <w:div w:id="131885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1482</Words>
  <Characters>8898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Wahlig</dc:creator>
  <cp:lastModifiedBy>Magdalena Miller</cp:lastModifiedBy>
  <cp:revision>2</cp:revision>
  <cp:lastPrinted>2024-03-05T09:43:00Z</cp:lastPrinted>
  <dcterms:created xsi:type="dcterms:W3CDTF">2024-03-28T10:55:00Z</dcterms:created>
  <dcterms:modified xsi:type="dcterms:W3CDTF">2024-03-28T10:55:00Z</dcterms:modified>
</cp:coreProperties>
</file>