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E3" w:rsidRDefault="006C70E3" w:rsidP="006C70E3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Szczecin, dnia 1</w:t>
      </w:r>
      <w:r w:rsidR="00F04CC4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lutego 201</w:t>
      </w:r>
      <w:r w:rsidR="00195EEF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r.</w:t>
      </w:r>
    </w:p>
    <w:p w:rsidR="006C70E3" w:rsidRDefault="006C70E3" w:rsidP="00076E9C"/>
    <w:p w:rsidR="00076E9C" w:rsidRPr="00473C64" w:rsidRDefault="00473C64" w:rsidP="00473C64">
      <w:pPr>
        <w:jc w:val="center"/>
        <w:rPr>
          <w:b/>
        </w:rPr>
      </w:pPr>
      <w:r w:rsidRPr="00473C64">
        <w:rPr>
          <w:b/>
        </w:rPr>
        <w:t>ZAPYTANIE OFERTOWE</w:t>
      </w:r>
    </w:p>
    <w:p w:rsidR="00076E9C" w:rsidRDefault="00076E9C" w:rsidP="00076E9C"/>
    <w:p w:rsidR="00076E9C" w:rsidRDefault="00076E9C" w:rsidP="00076E9C">
      <w:r>
        <w:t xml:space="preserve">Urząd Marszałkowski Województwa Zachodniopomorskiego (Zamawiający) </w:t>
      </w:r>
      <w:r w:rsidR="00473C64">
        <w:t xml:space="preserve">zaprasza do składania ofert na </w:t>
      </w:r>
      <w:r w:rsidR="00AF2D51" w:rsidRPr="00AF2D51">
        <w:rPr>
          <w:b/>
        </w:rPr>
        <w:t>„</w:t>
      </w:r>
      <w:r w:rsidR="00AF2D51">
        <w:rPr>
          <w:b/>
        </w:rPr>
        <w:t>U</w:t>
      </w:r>
      <w:r w:rsidR="000D1DA4" w:rsidRPr="00AF2D51">
        <w:rPr>
          <w:b/>
        </w:rPr>
        <w:t>sługi kserograficzne limitowane wydrukami/kopiami</w:t>
      </w:r>
      <w:r w:rsidR="00AF2D51">
        <w:rPr>
          <w:b/>
        </w:rPr>
        <w:t>”</w:t>
      </w:r>
      <w:r w:rsidR="00473C64">
        <w:t>.</w:t>
      </w:r>
      <w:r>
        <w:t xml:space="preserve"> </w:t>
      </w:r>
    </w:p>
    <w:p w:rsidR="00473C64" w:rsidRDefault="00473C64" w:rsidP="00076E9C"/>
    <w:p w:rsidR="00473C64" w:rsidRPr="00AF2D51" w:rsidRDefault="00473C64" w:rsidP="00473C64">
      <w:pPr>
        <w:tabs>
          <w:tab w:val="left" w:pos="284"/>
        </w:tabs>
        <w:spacing w:before="40" w:after="40" w:line="360" w:lineRule="auto"/>
        <w:jc w:val="both"/>
        <w:rPr>
          <w:rFonts w:asciiTheme="minorHAnsi" w:hAnsiTheme="minorHAnsi" w:cs="Arial"/>
          <w:b/>
          <w:szCs w:val="20"/>
        </w:rPr>
      </w:pPr>
      <w:r w:rsidRPr="00AF2D51">
        <w:rPr>
          <w:rFonts w:asciiTheme="minorHAnsi" w:hAnsiTheme="minorHAnsi" w:cs="Arial"/>
          <w:b/>
          <w:szCs w:val="20"/>
        </w:rPr>
        <w:t>I.</w:t>
      </w:r>
      <w:r w:rsidRPr="00AF2D51">
        <w:rPr>
          <w:rFonts w:asciiTheme="minorHAnsi" w:hAnsiTheme="minorHAnsi" w:cs="Arial"/>
          <w:b/>
          <w:szCs w:val="20"/>
        </w:rPr>
        <w:tab/>
        <w:t>ZAMAWIAJĄCY</w:t>
      </w:r>
    </w:p>
    <w:p w:rsidR="00473C64" w:rsidRPr="00AF2D51" w:rsidRDefault="00473C64" w:rsidP="00473C64">
      <w:pPr>
        <w:shd w:val="clear" w:color="auto" w:fill="FFFFFF"/>
        <w:spacing w:before="40" w:after="40" w:line="360" w:lineRule="auto"/>
        <w:jc w:val="both"/>
        <w:rPr>
          <w:rFonts w:asciiTheme="minorHAnsi" w:eastAsia="Times New Roman" w:hAnsiTheme="minorHAnsi" w:cs="Arial"/>
          <w:szCs w:val="20"/>
          <w:lang w:eastAsia="pl-PL"/>
        </w:rPr>
      </w:pPr>
      <w:r w:rsidRPr="00AF2D51">
        <w:rPr>
          <w:rFonts w:asciiTheme="minorHAnsi" w:eastAsia="Times New Roman" w:hAnsiTheme="minorHAnsi" w:cs="Arial"/>
          <w:szCs w:val="20"/>
          <w:lang w:eastAsia="pl-PL"/>
        </w:rPr>
        <w:t>Województwo Zachodniopomorskie, ul. Korsarzy 34, 70-540 Szczecin, NIP 851-287-14-98.</w:t>
      </w:r>
    </w:p>
    <w:p w:rsidR="00473C64" w:rsidRPr="00AF2D51" w:rsidRDefault="00473C64" w:rsidP="00473C64">
      <w:pPr>
        <w:shd w:val="clear" w:color="auto" w:fill="FFFFFF"/>
        <w:spacing w:before="40" w:after="40" w:line="360" w:lineRule="auto"/>
        <w:ind w:left="426"/>
        <w:jc w:val="both"/>
        <w:rPr>
          <w:rFonts w:asciiTheme="minorHAnsi" w:eastAsia="Times New Roman" w:hAnsiTheme="minorHAnsi" w:cs="Arial"/>
          <w:szCs w:val="20"/>
          <w:lang w:eastAsia="pl-PL"/>
        </w:rPr>
      </w:pPr>
    </w:p>
    <w:p w:rsidR="00473C64" w:rsidRPr="00AF2D51" w:rsidRDefault="00473C64" w:rsidP="00473C64">
      <w:pPr>
        <w:shd w:val="clear" w:color="auto" w:fill="FFFFFF"/>
        <w:tabs>
          <w:tab w:val="left" w:pos="284"/>
        </w:tabs>
        <w:spacing w:before="40" w:after="40" w:line="360" w:lineRule="auto"/>
        <w:jc w:val="both"/>
        <w:rPr>
          <w:rFonts w:asciiTheme="minorHAnsi" w:eastAsia="Times New Roman" w:hAnsiTheme="minorHAnsi" w:cs="Arial"/>
          <w:b/>
          <w:szCs w:val="20"/>
          <w:lang w:eastAsia="pl-PL"/>
        </w:rPr>
      </w:pPr>
      <w:r w:rsidRPr="00AF2D51">
        <w:rPr>
          <w:rFonts w:asciiTheme="minorHAnsi" w:eastAsia="Times New Roman" w:hAnsiTheme="minorHAnsi" w:cs="Arial"/>
          <w:b/>
          <w:szCs w:val="20"/>
          <w:lang w:eastAsia="pl-PL"/>
        </w:rPr>
        <w:t>II.</w:t>
      </w:r>
      <w:r w:rsidRPr="00AF2D51">
        <w:rPr>
          <w:rFonts w:asciiTheme="minorHAnsi" w:eastAsia="Times New Roman" w:hAnsiTheme="minorHAnsi" w:cs="Arial"/>
          <w:b/>
          <w:szCs w:val="20"/>
          <w:lang w:eastAsia="pl-PL"/>
        </w:rPr>
        <w:tab/>
        <w:t xml:space="preserve">OPIS PRZEDMIOTU ZAMÓWIENIA </w:t>
      </w:r>
    </w:p>
    <w:p w:rsidR="00076E9C" w:rsidRDefault="00076E9C" w:rsidP="00076E9C">
      <w:r>
        <w:t>1. Zamawiający kupuje limit wydruków/kopii w następującej ilości oraz rodzaju:</w:t>
      </w:r>
    </w:p>
    <w:p w:rsidR="00076E9C" w:rsidRDefault="00076E9C" w:rsidP="00076E9C">
      <w:r>
        <w:t>a) 2.</w:t>
      </w:r>
      <w:r w:rsidR="00195EEF">
        <w:t>5</w:t>
      </w:r>
      <w:r>
        <w:t>00.000 sztuk wydruków/kopii czarno – białych,</w:t>
      </w:r>
    </w:p>
    <w:p w:rsidR="00076E9C" w:rsidRDefault="00076E9C" w:rsidP="00076E9C">
      <w:r>
        <w:t xml:space="preserve">b) </w:t>
      </w:r>
      <w:r w:rsidR="00195EEF">
        <w:t>21</w:t>
      </w:r>
      <w:r>
        <w:t xml:space="preserve">0.000 sztuk wydruków/kopii kolorowych. </w:t>
      </w:r>
    </w:p>
    <w:p w:rsidR="009702E1" w:rsidRDefault="009702E1" w:rsidP="00076E9C"/>
    <w:p w:rsidR="00076E9C" w:rsidRDefault="00076E9C" w:rsidP="00076E9C">
      <w:r>
        <w:t>2. Wykonawca w ramach zakupu limitu wydruków/kopii określonego w pkt 1 zobowiązany jest do u</w:t>
      </w:r>
      <w:r w:rsidR="00DD6614">
        <w:t>dostępnienia Zamawiającemu do 77</w:t>
      </w:r>
      <w:r>
        <w:t xml:space="preserve"> sztuk kserokopiarek o następujących parametrach technicznych: </w:t>
      </w:r>
    </w:p>
    <w:p w:rsidR="00076E9C" w:rsidRDefault="00076E9C" w:rsidP="00076E9C">
      <w:pPr>
        <w:rPr>
          <w:u w:val="single"/>
        </w:rPr>
      </w:pPr>
    </w:p>
    <w:p w:rsidR="00076E9C" w:rsidRDefault="00076E9C" w:rsidP="00076E9C">
      <w:pPr>
        <w:rPr>
          <w:u w:val="single"/>
        </w:rPr>
      </w:pPr>
      <w:r>
        <w:rPr>
          <w:u w:val="single"/>
        </w:rPr>
        <w:t xml:space="preserve">Grupa A - 48 sztuk: 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kopiarka cyfrowa, drukarka, skaner, monochromatyczna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prędkość kopiowania min. 25 kopii na minutę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automatyczny podajnik oryginałów z odwracaniem ARDF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dotykowy panel sterujący LCD w języku polskim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moduł kopiowania dwustronnego – Duplex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 xml:space="preserve">dwie kasety po min. </w:t>
      </w:r>
      <w:r w:rsidR="00735A25">
        <w:t>4</w:t>
      </w:r>
      <w:r>
        <w:t>00 arkuszy każda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moduł drukarki sieciowej PCL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moduł skanera sieciowego po protokole TCP/IP (do folderu, e-mail, ftp)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interfejs Ethernet 10/100 Base-T RJ45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możliwość instalacji faksu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format kopiowania A6 – A3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20 urządzeń w tej grupie powinno posiadać możliwość skanowania w kolorze</w:t>
      </w:r>
    </w:p>
    <w:p w:rsidR="00076E9C" w:rsidRDefault="00076E9C" w:rsidP="00076E9C">
      <w:pPr>
        <w:rPr>
          <w:u w:val="single"/>
        </w:rPr>
      </w:pPr>
    </w:p>
    <w:p w:rsidR="00076E9C" w:rsidRDefault="00076E9C" w:rsidP="00076E9C">
      <w:pPr>
        <w:rPr>
          <w:u w:val="single"/>
        </w:rPr>
      </w:pPr>
      <w:r>
        <w:rPr>
          <w:u w:val="single"/>
        </w:rPr>
        <w:t>Grupa B - 4 sztuki: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kopiarka cyfrowa, drukarka, skaner, monochromatyczna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prędkość kopiowania min. 50 kopii na minutę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automatyczny podajnik oryginałów z odwracaniem ARDF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Wyświetlacz LCD w języku polskim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moduł kopiowania dwustronnego – Duplex</w:t>
      </w:r>
    </w:p>
    <w:p w:rsidR="00076E9C" w:rsidRDefault="00076E9C" w:rsidP="00735A25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 xml:space="preserve">dwie kasety po min. 500 arkuszy                                  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moduł skanera sieciowego po protokole TCP/IP (do folderu, e-mail, ftp)</w:t>
      </w:r>
    </w:p>
    <w:p w:rsidR="00076E9C" w:rsidRPr="00F76682" w:rsidRDefault="00076E9C" w:rsidP="00CF5F92">
      <w:pPr>
        <w:pStyle w:val="Akapitzlist"/>
        <w:ind w:hanging="360"/>
      </w:pPr>
      <w:r>
        <w:rPr>
          <w:rFonts w:ascii="Symbol" w:hAnsi="Symbol"/>
        </w:rPr>
        <w:t></w:t>
      </w:r>
      <w:r w:rsidRPr="00F76682">
        <w:rPr>
          <w:rFonts w:ascii="Times New Roman" w:hAnsi="Times New Roman"/>
          <w:sz w:val="14"/>
          <w:szCs w:val="14"/>
        </w:rPr>
        <w:t xml:space="preserve">         </w:t>
      </w:r>
      <w:r w:rsidRPr="00F76682">
        <w:t xml:space="preserve">interfejs Ethernet 10/100 Base-T RJ45 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możliwość instalacji faksu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format kopiowania A6 – A3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finiszer z opcją zszywania dokumentów</w:t>
      </w:r>
    </w:p>
    <w:p w:rsidR="00076E9C" w:rsidRDefault="00076E9C" w:rsidP="00076E9C">
      <w:pPr>
        <w:rPr>
          <w:u w:val="single"/>
        </w:rPr>
      </w:pPr>
    </w:p>
    <w:p w:rsidR="00076E9C" w:rsidRDefault="00076E9C" w:rsidP="00076E9C">
      <w:pPr>
        <w:rPr>
          <w:u w:val="single"/>
        </w:rPr>
      </w:pPr>
      <w:r>
        <w:rPr>
          <w:u w:val="single"/>
        </w:rPr>
        <w:t>Grupa C - 2</w:t>
      </w:r>
      <w:r w:rsidR="00DD6614">
        <w:rPr>
          <w:u w:val="single"/>
        </w:rPr>
        <w:t>5</w:t>
      </w:r>
      <w:r>
        <w:rPr>
          <w:u w:val="single"/>
        </w:rPr>
        <w:t xml:space="preserve"> sztuk: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lastRenderedPageBreak/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 xml:space="preserve">kopiarka cyfrowa, drukarka, skaner, kolorowa 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prędkość kopiowania min. 25 kopii na minutę w czerni i kolorze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automatyczny podajnik oryginałów z odwracaniem ARDF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dotykowy panel sterujący LCD w języku polskim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moduł kopiowania dwustronnego – Duplex</w:t>
      </w:r>
    </w:p>
    <w:p w:rsidR="00076E9C" w:rsidRDefault="00076E9C" w:rsidP="00CF5F92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 xml:space="preserve">dwie kasety po min. </w:t>
      </w:r>
      <w:r w:rsidR="00CF5F92">
        <w:t>4</w:t>
      </w:r>
      <w:r>
        <w:t>00 arkuszy każda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moduł skanera sieciowego po protokole TCP/IP (do folderu, e-mail, ftp)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interfejs Ethernet 10/100 Base-T RJ45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możliwość instalacji faksu</w:t>
      </w:r>
    </w:p>
    <w:p w:rsidR="00076E9C" w:rsidRDefault="00076E9C" w:rsidP="00076E9C">
      <w:pPr>
        <w:pStyle w:val="Akapitzlist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format kopiowania A6 – A3</w:t>
      </w:r>
    </w:p>
    <w:p w:rsidR="009F3DF6" w:rsidRDefault="009F3DF6" w:rsidP="00076E9C"/>
    <w:p w:rsidR="00076E9C" w:rsidRDefault="009F3DF6" w:rsidP="00076E9C">
      <w:r>
        <w:t>Do wszystkich urządzeń dostarczonych przez Wykonawcę</w:t>
      </w:r>
      <w:r w:rsidR="00967F0F">
        <w:t>,</w:t>
      </w:r>
      <w:r>
        <w:t xml:space="preserve"> wymagan</w:t>
      </w:r>
      <w:r w:rsidR="00967F0F">
        <w:t>a</w:t>
      </w:r>
      <w:r>
        <w:t xml:space="preserve"> </w:t>
      </w:r>
      <w:r w:rsidR="00967F0F">
        <w:t>jest</w:t>
      </w:r>
      <w:r>
        <w:t xml:space="preserve"> </w:t>
      </w:r>
      <w:r w:rsidR="00967F0F">
        <w:t xml:space="preserve">dostępność na stronie producenta urządzeń, </w:t>
      </w:r>
      <w:r>
        <w:rPr>
          <w:rFonts w:asciiTheme="minorHAnsi" w:hAnsiTheme="minorHAnsi"/>
        </w:rPr>
        <w:t>sterownik</w:t>
      </w:r>
      <w:r w:rsidR="00967F0F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TWAIN dla systemów Windows 7 i Windows 10</w:t>
      </w:r>
      <w:r w:rsidR="00967F0F">
        <w:rPr>
          <w:rFonts w:asciiTheme="minorHAnsi" w:hAnsiTheme="minorHAnsi"/>
        </w:rPr>
        <w:t xml:space="preserve"> w wersjach 32 i 64 bitowych.</w:t>
      </w:r>
    </w:p>
    <w:p w:rsidR="009F3DF6" w:rsidRDefault="009F3DF6" w:rsidP="00076E9C"/>
    <w:p w:rsidR="00076E9C" w:rsidRDefault="00076E9C" w:rsidP="00076E9C">
      <w:r>
        <w:t>3.Udostępnione urządzenia wskazane w pkt 2, objęte będą w szczególności następującym zakresem czynności realizowanym przez Wykonawcę:</w:t>
      </w:r>
    </w:p>
    <w:p w:rsidR="00076E9C" w:rsidRDefault="00076E9C" w:rsidP="00076E9C">
      <w:r>
        <w:t>a) dostarczenie urządzeń do miejsc wskazanych przez Zamawiającego na terenie Szczecina i Koszalina,</w:t>
      </w:r>
    </w:p>
    <w:p w:rsidR="00076E9C" w:rsidRDefault="00076E9C" w:rsidP="00076E9C">
      <w:r>
        <w:t>b) instalacja i uruchomienie urządzeń w pomieszczeniach Zamawiającego w terminie 14 dni od daty podpisania umowy,</w:t>
      </w:r>
    </w:p>
    <w:p w:rsidR="00076E9C" w:rsidRDefault="00076E9C" w:rsidP="00076E9C">
      <w:r>
        <w:t>c) szkolenie pracowników Zamawiającego w zakresie obsługi,</w:t>
      </w:r>
    </w:p>
    <w:p w:rsidR="00076E9C" w:rsidRDefault="00076E9C" w:rsidP="00076E9C">
      <w:r>
        <w:t>d) obsługa serwisowa urządzeń przez cały okres trwania umowy,</w:t>
      </w:r>
    </w:p>
    <w:p w:rsidR="00076E9C" w:rsidRDefault="00076E9C" w:rsidP="00076E9C">
      <w:r>
        <w:t>e) demontaż i odebranie urządzeń po zakończeniu okresu udostępnienia</w:t>
      </w:r>
      <w:r w:rsidR="009702E1">
        <w:t>.</w:t>
      </w:r>
    </w:p>
    <w:p w:rsidR="00076E9C" w:rsidRDefault="00076E9C" w:rsidP="00076E9C"/>
    <w:p w:rsidR="00076E9C" w:rsidRDefault="00076E9C" w:rsidP="00733600">
      <w:r>
        <w:t xml:space="preserve">4.Wykonawca na okres realizacji umowy obejmie swoim serwisem 8 kopiarek będących własnością Zamawiającego (4 x </w:t>
      </w:r>
      <w:proofErr w:type="spellStart"/>
      <w:r>
        <w:t>Rex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DSm730, 2 x </w:t>
      </w:r>
      <w:proofErr w:type="spellStart"/>
      <w:r>
        <w:t>Aficio</w:t>
      </w:r>
      <w:proofErr w:type="spellEnd"/>
      <w:r>
        <w:t xml:space="preserve"> MP2510, 1 x Ricoh </w:t>
      </w:r>
      <w:proofErr w:type="spellStart"/>
      <w:r>
        <w:t>Aficio</w:t>
      </w:r>
      <w:proofErr w:type="spellEnd"/>
      <w:r>
        <w:t xml:space="preserve"> 3030,1 x NRG DSM 620d).</w:t>
      </w:r>
      <w:r w:rsidR="00733600">
        <w:t xml:space="preserve"> </w:t>
      </w:r>
    </w:p>
    <w:p w:rsidR="00076E9C" w:rsidRDefault="00076E9C" w:rsidP="00076E9C"/>
    <w:p w:rsidR="00076E9C" w:rsidRDefault="00076E9C" w:rsidP="00076E9C">
      <w:r>
        <w:t xml:space="preserve">5.Wykonawca dostarczy na własny koszt części zamienne i materiały eksploatacyjne tj. tonery oraz zszywki, niezbędne do zapewnienia prawidłowej, ciągłej pracy urządzeń dostarczonych przez Wykonawcę jak i maszyn Zamawiającego objętych serwisem  (nie dotyczy papieru) w całym okresie świadczenia usługi. </w:t>
      </w:r>
    </w:p>
    <w:p w:rsidR="00076E9C" w:rsidRDefault="00076E9C" w:rsidP="00076E9C"/>
    <w:p w:rsidR="00076E9C" w:rsidRDefault="00076E9C" w:rsidP="00076E9C">
      <w:r>
        <w:t>6.</w:t>
      </w:r>
      <w:r w:rsidRPr="00076E9C">
        <w:t>W przypadku konieczności naprawy urządzeń Zamawiający zastrzega sobie prawo do wykonywania tej usługi w siedzibie Zamawiającego. W przypadku konieczności naprawy poza siedzibą Zamawiającego, dyski twarde pozostają w siedzibie Zamawiającego</w:t>
      </w:r>
      <w:r w:rsidR="008D7407">
        <w:t xml:space="preserve"> lub </w:t>
      </w:r>
      <w:r w:rsidR="008D7407" w:rsidRPr="008D7407">
        <w:t>zostaną sformatowane za pomocą kodów serwisowych w obecności pracownika Zamawiającego</w:t>
      </w:r>
      <w:r w:rsidRPr="00076E9C">
        <w:t xml:space="preserve">. </w:t>
      </w:r>
      <w:r w:rsidR="008D7407">
        <w:t>Trwale uszkodzone d</w:t>
      </w:r>
      <w:r w:rsidRPr="00076E9C">
        <w:t xml:space="preserve">yski twarde urządzeń pozostają własnością Zamawiającego. </w:t>
      </w:r>
    </w:p>
    <w:p w:rsidR="00F04CC4" w:rsidRDefault="00F04CC4" w:rsidP="00076E9C"/>
    <w:p w:rsidR="00F04CC4" w:rsidRDefault="00F04CC4" w:rsidP="00076E9C"/>
    <w:p w:rsidR="00473C64" w:rsidRDefault="00473C64" w:rsidP="00473C64">
      <w:pPr>
        <w:tabs>
          <w:tab w:val="left" w:pos="426"/>
        </w:tabs>
        <w:spacing w:before="40" w:after="40" w:line="360" w:lineRule="auto"/>
        <w:jc w:val="both"/>
        <w:rPr>
          <w:rFonts w:asciiTheme="minorHAnsi" w:hAnsiTheme="minorHAnsi" w:cs="Arial"/>
          <w:b/>
          <w:szCs w:val="20"/>
        </w:rPr>
      </w:pPr>
      <w:r w:rsidRPr="00AF2D51">
        <w:rPr>
          <w:rFonts w:asciiTheme="minorHAnsi" w:hAnsiTheme="minorHAnsi" w:cs="Arial"/>
          <w:b/>
          <w:szCs w:val="20"/>
        </w:rPr>
        <w:t>III.</w:t>
      </w:r>
      <w:r w:rsidRPr="00AF2D51">
        <w:rPr>
          <w:rFonts w:asciiTheme="minorHAnsi" w:hAnsiTheme="minorHAnsi" w:cs="Arial"/>
          <w:b/>
          <w:szCs w:val="20"/>
        </w:rPr>
        <w:tab/>
        <w:t>WARUNKI UDZIAŁU W POSTĘPOWANIU I SPOSÓB ICH WERYFIKACJI:</w:t>
      </w:r>
    </w:p>
    <w:p w:rsidR="00D20BCD" w:rsidRDefault="00D20BCD" w:rsidP="00AF2D51">
      <w:r>
        <w:t xml:space="preserve">1. </w:t>
      </w:r>
      <w:r w:rsidRPr="00AF2D51">
        <w:t xml:space="preserve">W postępowaniu mogą wziąć udział wykonawcy nie podlegający wykluczeniu na podstawie art. 24 ust. 1 pkt 12 - 22 </w:t>
      </w:r>
      <w:proofErr w:type="spellStart"/>
      <w:r w:rsidRPr="00AF2D51">
        <w:t>p.z.p</w:t>
      </w:r>
      <w:proofErr w:type="spellEnd"/>
      <w:r w:rsidRPr="00AF2D51">
        <w:t xml:space="preserve">. Weryfikacja spełniania przedmiotowego wymogu nastąpi w oparciu o oświadczenie wykonawcy, które sugeruje się złożyć na wzorze formularza stanowiącego załącznik nr </w:t>
      </w:r>
      <w:r>
        <w:t>3</w:t>
      </w:r>
      <w:r w:rsidRPr="00AF2D51">
        <w:t xml:space="preserve"> do Zapytania Ofertowego. </w:t>
      </w:r>
    </w:p>
    <w:p w:rsidR="00D20BCD" w:rsidRPr="00AF2D51" w:rsidRDefault="00D20BCD" w:rsidP="00AF2D51"/>
    <w:p w:rsidR="00CA40C7" w:rsidRPr="00AF2D51" w:rsidRDefault="00D20BCD" w:rsidP="00AF2D51">
      <w:r>
        <w:t>2</w:t>
      </w:r>
      <w:r w:rsidR="00CA40C7">
        <w:t xml:space="preserve">. </w:t>
      </w:r>
      <w:r w:rsidR="00CA40C7">
        <w:t xml:space="preserve">Wykonawca musi dysponować odpowiednim potencjałem technicznym oraz osobami zdolnymi do wykonywania zamówienia, tj. dysponować co najmniej dwiema osobami posiadającymi uprawnienia (certyfikaty) w zakresie serwisu urządzeń, wystawione przez Producenta lub oficjalnego </w:t>
      </w:r>
      <w:r w:rsidR="00CA40C7">
        <w:lastRenderedPageBreak/>
        <w:t xml:space="preserve">przedstawiciela Producenta: Ricoh lub </w:t>
      </w:r>
      <w:proofErr w:type="spellStart"/>
      <w:r w:rsidR="00CA40C7">
        <w:t>Nashuatec</w:t>
      </w:r>
      <w:proofErr w:type="spellEnd"/>
      <w:r w:rsidR="00CA40C7">
        <w:t xml:space="preserve"> lub </w:t>
      </w:r>
      <w:proofErr w:type="spellStart"/>
      <w:r w:rsidR="00CA40C7">
        <w:t>Rex-Rotary</w:t>
      </w:r>
      <w:proofErr w:type="spellEnd"/>
      <w:r w:rsidR="00CA40C7">
        <w:t xml:space="preserve">. </w:t>
      </w:r>
      <w:r w:rsidR="00CA40C7" w:rsidRPr="00F04CC4">
        <w:t>Weryfikacja spełniania przedmiotowego wymogu nastąpi w oparciu o oświadczenie wykonawcy</w:t>
      </w:r>
      <w:r w:rsidR="00CA40C7">
        <w:t xml:space="preserve"> (wzór oświadczenia stanowi załącznik nr </w:t>
      </w:r>
      <w:r>
        <w:t>3</w:t>
      </w:r>
      <w:r w:rsidR="00CA40C7">
        <w:t xml:space="preserve"> do Zapytania Ofertowego)</w:t>
      </w:r>
      <w:r w:rsidR="00CA40C7" w:rsidRPr="00F04CC4">
        <w:t xml:space="preserve">, które </w:t>
      </w:r>
      <w:r w:rsidR="00CA40C7">
        <w:t>należy</w:t>
      </w:r>
      <w:r w:rsidR="00CA40C7" w:rsidRPr="00F04CC4">
        <w:t xml:space="preserve"> </w:t>
      </w:r>
      <w:r w:rsidR="00CA40C7">
        <w:t>załączyć do formularza ofertowego.</w:t>
      </w:r>
    </w:p>
    <w:p w:rsidR="00473C64" w:rsidRDefault="00473C64" w:rsidP="00076E9C"/>
    <w:p w:rsidR="00CA40C7" w:rsidRDefault="00D20BCD" w:rsidP="00CA40C7">
      <w:r>
        <w:t>3</w:t>
      </w:r>
      <w:r w:rsidR="00CA40C7">
        <w:t>.</w:t>
      </w:r>
      <w:r w:rsidR="00CA40C7" w:rsidRPr="00F04CC4">
        <w:t xml:space="preserve"> </w:t>
      </w:r>
      <w:r w:rsidR="00CA40C7">
        <w:t xml:space="preserve">Wykonawca wykaże, iż w okresie ostatnich 3 lat przed upływem terminu składania ofert, a jeżeli okres prowadzenia działalności jest krótszy, w tym okresie wykonał lub wykonuje co najmniej 2 usługi dzierżawy urządzeń wielofunkcyjnych oraz serwisowe obejmujące konserwacje i bieżące naprawy kserokopiarek, przy czym każda  z nich o wartości nie mniejszej niż 80.000,00 zł brutto. </w:t>
      </w:r>
      <w:r w:rsidR="00CA40C7" w:rsidRPr="00F04CC4">
        <w:t>Weryfikacja spełniania przedmiotowego wymogu nastąpi w oparciu o oświadczenie wykonawcy</w:t>
      </w:r>
      <w:r w:rsidR="00CA40C7">
        <w:t xml:space="preserve"> (wzór oświadczenia stanowi załącznik nr 3 do Zapytania Ofertowego)</w:t>
      </w:r>
      <w:r w:rsidR="00CA40C7" w:rsidRPr="00F04CC4">
        <w:t xml:space="preserve">, które </w:t>
      </w:r>
      <w:r w:rsidR="00CA40C7">
        <w:t>należy</w:t>
      </w:r>
      <w:r w:rsidR="00CA40C7" w:rsidRPr="00F04CC4">
        <w:t xml:space="preserve"> </w:t>
      </w:r>
      <w:r w:rsidR="00CA40C7">
        <w:t xml:space="preserve">załączyć do formularza ofertowego </w:t>
      </w:r>
      <w:r w:rsidR="00CA40C7" w:rsidRPr="00F04CC4">
        <w:t>oraz na podstawie dokumentów referencyjnych wystawionych przez podmioty, na rzecz których były lub są świadczone wykazywane usługi. Oferty</w:t>
      </w:r>
      <w:r w:rsidR="00CA40C7">
        <w:t>,</w:t>
      </w:r>
      <w:r w:rsidR="00CA40C7" w:rsidRPr="00F04CC4">
        <w:t xml:space="preserve"> do których nie dołączono ww. oświadczenia do </w:t>
      </w:r>
      <w:r w:rsidR="00CA40C7">
        <w:t>formularza</w:t>
      </w:r>
      <w:r w:rsidR="00CA40C7" w:rsidRPr="00F04CC4">
        <w:t xml:space="preserve"> ofertowego nie będą oceniane.</w:t>
      </w:r>
    </w:p>
    <w:p w:rsidR="00CA40C7" w:rsidRDefault="00CA40C7" w:rsidP="00076E9C"/>
    <w:p w:rsidR="004776C5" w:rsidRDefault="004776C5" w:rsidP="00076E9C">
      <w:r>
        <w:t xml:space="preserve">4. </w:t>
      </w:r>
      <w:r w:rsidRPr="004776C5">
        <w:t>Zamawiający wymaga, by Wykonawcy spełniali warunki na dzień składania ofert.</w:t>
      </w:r>
    </w:p>
    <w:p w:rsidR="00CA40C7" w:rsidRDefault="00CA40C7" w:rsidP="00076E9C"/>
    <w:p w:rsidR="004776C5" w:rsidRPr="00AF2D51" w:rsidRDefault="00333B0B" w:rsidP="00AF2D51">
      <w:pPr>
        <w:tabs>
          <w:tab w:val="left" w:pos="426"/>
        </w:tabs>
        <w:spacing w:before="40" w:after="40" w:line="360" w:lineRule="auto"/>
        <w:jc w:val="both"/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b/>
          <w:szCs w:val="20"/>
        </w:rPr>
        <w:t>I</w:t>
      </w:r>
      <w:r w:rsidR="004776C5" w:rsidRPr="00AF2D51">
        <w:rPr>
          <w:rFonts w:asciiTheme="minorHAnsi" w:hAnsiTheme="minorHAnsi" w:cs="Arial"/>
          <w:b/>
          <w:szCs w:val="20"/>
        </w:rPr>
        <w:t>V.    OPIS SPOSOBU PRZYGOTOWANIA OFERTY:</w:t>
      </w:r>
    </w:p>
    <w:p w:rsidR="004776C5" w:rsidRDefault="004776C5" w:rsidP="004776C5">
      <w:r>
        <w:t>1. Wykonawca zainteresowany udziałem w postępowaniu powinien przygotować i przekazać Zamawiającemu ofertę zawierającą następujące informacje:</w:t>
      </w:r>
    </w:p>
    <w:p w:rsidR="004776C5" w:rsidRDefault="004776C5" w:rsidP="004776C5">
      <w:r>
        <w:t>- cenę ryczałtową za 1 kopię "czarno-białą" (netto + VAT),</w:t>
      </w:r>
    </w:p>
    <w:p w:rsidR="004776C5" w:rsidRDefault="004776C5" w:rsidP="004776C5">
      <w:r>
        <w:t>- cenę ryczałtową za 1 kopię "kolorową" (netto + VAT),</w:t>
      </w:r>
    </w:p>
    <w:p w:rsidR="004776C5" w:rsidRDefault="004776C5" w:rsidP="004776C5">
      <w:r>
        <w:t xml:space="preserve">Podana cena brutto 1 kopi "kolorowej" powinna być wielokrotnością ceny kopi "czarno-białej", tj. dzielić się przez tą cenę </w:t>
      </w:r>
      <w:r>
        <w:rPr>
          <w:u w:val="single"/>
        </w:rPr>
        <w:t>bez reszty</w:t>
      </w:r>
      <w:r>
        <w:t>.</w:t>
      </w:r>
    </w:p>
    <w:p w:rsidR="00333B0B" w:rsidRDefault="00333B0B" w:rsidP="004776C5"/>
    <w:p w:rsidR="004776C5" w:rsidRDefault="004776C5" w:rsidP="004776C5">
      <w:r>
        <w:t>2. Sugeruje się składać ofertę na wzorze oferty cenowej stanowiącej załącznik nr 2 do niniejszego Zapytania Ofertowego. W przypadku gdy wykonawca nie korzysta z formularza konieczne jest zawarcie w ofercie wszystkich danych jakie wynikają z treści wzoru formularza.</w:t>
      </w:r>
    </w:p>
    <w:p w:rsidR="00333B0B" w:rsidRDefault="00333B0B" w:rsidP="004776C5"/>
    <w:p w:rsidR="004776C5" w:rsidRDefault="004776C5" w:rsidP="004776C5">
      <w:r>
        <w:t xml:space="preserve">3. Oferta winna być podpisana przez osoby upoważnione do reprezentacji Wykonawcy w obrocie gospodarczym. </w:t>
      </w:r>
    </w:p>
    <w:p w:rsidR="00333B0B" w:rsidRDefault="00333B0B" w:rsidP="004776C5"/>
    <w:p w:rsidR="004776C5" w:rsidRDefault="004776C5" w:rsidP="004776C5">
      <w:r>
        <w:t xml:space="preserve">4. Ofertę należy sporządzić w języku polskim, Wykonawca może złożyć tylko jedną ofertę. </w:t>
      </w:r>
    </w:p>
    <w:p w:rsidR="00333B0B" w:rsidRDefault="00333B0B" w:rsidP="004776C5"/>
    <w:p w:rsidR="00076E9C" w:rsidRDefault="004776C5" w:rsidP="004776C5">
      <w:r>
        <w:t xml:space="preserve">5. W zakresie nie opisanym w zapytaniu pomocnicze zastosowanie znajdzie art. 87 </w:t>
      </w:r>
      <w:proofErr w:type="spellStart"/>
      <w:r>
        <w:t>p.z.p</w:t>
      </w:r>
      <w:proofErr w:type="spellEnd"/>
      <w:r>
        <w:t>.</w:t>
      </w:r>
    </w:p>
    <w:p w:rsidR="004776C5" w:rsidRDefault="004776C5" w:rsidP="00076E9C"/>
    <w:p w:rsidR="00AF2D51" w:rsidRPr="00AF2D51" w:rsidRDefault="00AF2D51" w:rsidP="00AF2D51">
      <w:pPr>
        <w:tabs>
          <w:tab w:val="left" w:pos="426"/>
        </w:tabs>
        <w:spacing w:before="40" w:after="40" w:line="360" w:lineRule="auto"/>
        <w:jc w:val="both"/>
        <w:rPr>
          <w:rFonts w:asciiTheme="minorHAnsi" w:hAnsiTheme="minorHAnsi" w:cs="Arial"/>
          <w:b/>
          <w:szCs w:val="20"/>
        </w:rPr>
      </w:pPr>
      <w:r w:rsidRPr="00AF2D51">
        <w:rPr>
          <w:rFonts w:asciiTheme="minorHAnsi" w:hAnsiTheme="minorHAnsi" w:cs="Arial"/>
          <w:b/>
          <w:szCs w:val="20"/>
        </w:rPr>
        <w:t>V.</w:t>
      </w:r>
      <w:r w:rsidRPr="00AF2D51">
        <w:rPr>
          <w:rFonts w:asciiTheme="minorHAnsi" w:hAnsiTheme="minorHAnsi" w:cs="Arial"/>
          <w:b/>
          <w:szCs w:val="20"/>
        </w:rPr>
        <w:tab/>
        <w:t>KRYTERIA OCENY OFERT ORAZ SPOSÓB ICH OCENY</w:t>
      </w:r>
    </w:p>
    <w:p w:rsidR="00AF2D51" w:rsidRDefault="00AF2D51" w:rsidP="00AF2D51">
      <w:pPr>
        <w:tabs>
          <w:tab w:val="left" w:pos="426"/>
        </w:tabs>
        <w:spacing w:before="40" w:after="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 </w:t>
      </w:r>
      <w:r w:rsidRPr="00AF2D51">
        <w:rPr>
          <w:rFonts w:asciiTheme="minorHAnsi" w:hAnsiTheme="minorHAnsi" w:cs="Arial"/>
        </w:rPr>
        <w:t xml:space="preserve">Wybrana zostanie oferta, która uzyska największą liczbę punktów. </w:t>
      </w:r>
    </w:p>
    <w:p w:rsidR="00AF2D51" w:rsidRPr="00AF2D51" w:rsidRDefault="00AF2D51" w:rsidP="00AF2D51">
      <w:pPr>
        <w:tabs>
          <w:tab w:val="left" w:pos="426"/>
        </w:tabs>
        <w:spacing w:before="40" w:after="40" w:line="276" w:lineRule="auto"/>
        <w:jc w:val="both"/>
        <w:rPr>
          <w:rFonts w:asciiTheme="minorHAnsi" w:hAnsiTheme="minorHAnsi" w:cs="Arial"/>
        </w:rPr>
      </w:pPr>
    </w:p>
    <w:p w:rsidR="00AF2D51" w:rsidRPr="00AF2D51" w:rsidRDefault="00AF2D51" w:rsidP="00AF2D51">
      <w:pPr>
        <w:tabs>
          <w:tab w:val="left" w:pos="426"/>
        </w:tabs>
        <w:spacing w:before="40" w:after="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2. </w:t>
      </w:r>
      <w:r w:rsidRPr="00AF2D51">
        <w:rPr>
          <w:rFonts w:asciiTheme="minorHAnsi" w:hAnsiTheme="minorHAnsi" w:cs="Arial"/>
        </w:rPr>
        <w:t>Wybór oferty dokonany zostanie na podstawie kryteriów oceny ofert i ustaloną punktację do 100 pkt. (100% = 100pkt.)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3749"/>
      </w:tblGrid>
      <w:tr w:rsidR="00AF2D51" w:rsidRPr="00AF2D51" w:rsidTr="00AF2D51">
        <w:trPr>
          <w:trHeight w:val="103"/>
        </w:trPr>
        <w:tc>
          <w:tcPr>
            <w:tcW w:w="3827" w:type="dxa"/>
          </w:tcPr>
          <w:p w:rsidR="00AF2D51" w:rsidRPr="00AF2D51" w:rsidRDefault="00AF2D51" w:rsidP="00AF2D51">
            <w:pPr>
              <w:pStyle w:val="Bezodstpw"/>
              <w:spacing w:line="276" w:lineRule="auto"/>
            </w:pPr>
            <w:r w:rsidRPr="00AF2D51">
              <w:rPr>
                <w:bCs/>
              </w:rPr>
              <w:t xml:space="preserve">Kryteria oceny ofert </w:t>
            </w:r>
          </w:p>
        </w:tc>
        <w:tc>
          <w:tcPr>
            <w:tcW w:w="3749" w:type="dxa"/>
          </w:tcPr>
          <w:p w:rsidR="00AF2D51" w:rsidRPr="00AF2D51" w:rsidRDefault="00AF2D51" w:rsidP="00AF2D51">
            <w:pPr>
              <w:pStyle w:val="Bezodstpw"/>
              <w:spacing w:line="276" w:lineRule="auto"/>
            </w:pPr>
            <w:r w:rsidRPr="00AF2D51">
              <w:rPr>
                <w:bCs/>
              </w:rPr>
              <w:t xml:space="preserve">Waga (%) </w:t>
            </w:r>
          </w:p>
        </w:tc>
      </w:tr>
      <w:tr w:rsidR="00AF2D51" w:rsidRPr="00AF2D51" w:rsidTr="00AF2D51">
        <w:trPr>
          <w:trHeight w:val="103"/>
        </w:trPr>
        <w:tc>
          <w:tcPr>
            <w:tcW w:w="3827" w:type="dxa"/>
          </w:tcPr>
          <w:p w:rsidR="00AF2D51" w:rsidRPr="00AF2D51" w:rsidRDefault="00AF2D51" w:rsidP="00AF2D51">
            <w:pPr>
              <w:pStyle w:val="Bezodstpw"/>
              <w:spacing w:line="276" w:lineRule="auto"/>
              <w:rPr>
                <w:bCs/>
              </w:rPr>
            </w:pPr>
            <w:r w:rsidRPr="00AF2D51">
              <w:rPr>
                <w:bCs/>
              </w:rPr>
              <w:t xml:space="preserve">Łączna cena </w:t>
            </w:r>
            <w:r>
              <w:rPr>
                <w:bCs/>
              </w:rPr>
              <w:t xml:space="preserve">brutto </w:t>
            </w:r>
            <w:r w:rsidRPr="00AF2D51">
              <w:rPr>
                <w:bCs/>
              </w:rPr>
              <w:t xml:space="preserve">za </w:t>
            </w:r>
            <w:r>
              <w:rPr>
                <w:bCs/>
              </w:rPr>
              <w:t xml:space="preserve">„Usługę </w:t>
            </w:r>
            <w:r w:rsidRPr="00AF2D51">
              <w:rPr>
                <w:bCs/>
              </w:rPr>
              <w:t>kserograficzną limitowaną wydrukami/kopiami</w:t>
            </w:r>
            <w:r w:rsidRPr="00AF2D51">
              <w:rPr>
                <w:bCs/>
              </w:rPr>
              <w:t>”</w:t>
            </w:r>
            <w:r>
              <w:rPr>
                <w:bCs/>
              </w:rPr>
              <w:t>.</w:t>
            </w:r>
          </w:p>
        </w:tc>
        <w:tc>
          <w:tcPr>
            <w:tcW w:w="3749" w:type="dxa"/>
            <w:vAlign w:val="center"/>
          </w:tcPr>
          <w:p w:rsidR="00AF2D51" w:rsidRPr="00AF2D51" w:rsidRDefault="00AF2D51" w:rsidP="00AF2D51">
            <w:pPr>
              <w:pStyle w:val="Bezodstpw"/>
              <w:spacing w:line="276" w:lineRule="auto"/>
            </w:pPr>
            <w:r w:rsidRPr="00AF2D51">
              <w:rPr>
                <w:bCs/>
              </w:rPr>
              <w:t>100%</w:t>
            </w:r>
          </w:p>
        </w:tc>
      </w:tr>
    </w:tbl>
    <w:p w:rsidR="00AF2D51" w:rsidRPr="00AF2D51" w:rsidRDefault="00AF2D51" w:rsidP="00AF2D51">
      <w:pPr>
        <w:tabs>
          <w:tab w:val="left" w:pos="426"/>
        </w:tabs>
        <w:spacing w:before="40" w:after="40" w:line="276" w:lineRule="auto"/>
        <w:jc w:val="both"/>
        <w:rPr>
          <w:rFonts w:asciiTheme="minorHAnsi" w:hAnsiTheme="minorHAnsi" w:cs="Arial"/>
        </w:rPr>
      </w:pPr>
    </w:p>
    <w:p w:rsidR="00AF2D51" w:rsidRPr="00AF2D51" w:rsidRDefault="00AF2D51" w:rsidP="00AF2D51">
      <w:pPr>
        <w:tabs>
          <w:tab w:val="left" w:pos="426"/>
        </w:tabs>
        <w:spacing w:before="40" w:after="40" w:line="276" w:lineRule="auto"/>
        <w:jc w:val="both"/>
        <w:rPr>
          <w:rFonts w:asciiTheme="minorHAnsi" w:hAnsiTheme="minorHAnsi" w:cs="Arial"/>
          <w:b/>
        </w:rPr>
      </w:pPr>
      <w:r w:rsidRPr="00AF2D51">
        <w:rPr>
          <w:rFonts w:asciiTheme="minorHAnsi" w:hAnsiTheme="minorHAnsi" w:cs="Arial"/>
          <w:b/>
        </w:rPr>
        <w:t xml:space="preserve">Cena 100% </w:t>
      </w:r>
    </w:p>
    <w:p w:rsidR="00AF2D51" w:rsidRPr="00AF2D51" w:rsidRDefault="00AF2D51" w:rsidP="00AF2D51">
      <w:pPr>
        <w:tabs>
          <w:tab w:val="left" w:pos="426"/>
        </w:tabs>
        <w:spacing w:before="40" w:after="40" w:line="276" w:lineRule="auto"/>
        <w:jc w:val="both"/>
        <w:rPr>
          <w:rFonts w:asciiTheme="minorHAnsi" w:hAnsiTheme="minorHAnsi" w:cs="Arial"/>
        </w:rPr>
      </w:pPr>
    </w:p>
    <w:p w:rsidR="00AF2D51" w:rsidRPr="00AF2D51" w:rsidRDefault="00AF2D51" w:rsidP="00AF2D51">
      <w:pPr>
        <w:tabs>
          <w:tab w:val="left" w:pos="426"/>
        </w:tabs>
        <w:spacing w:before="40" w:after="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3. </w:t>
      </w:r>
      <w:r w:rsidRPr="00AF2D51">
        <w:rPr>
          <w:rFonts w:asciiTheme="minorHAnsi" w:hAnsiTheme="minorHAnsi" w:cs="Arial"/>
        </w:rPr>
        <w:t xml:space="preserve">Punktacja: </w:t>
      </w:r>
    </w:p>
    <w:p w:rsidR="00AF2D51" w:rsidRDefault="00AF2D51" w:rsidP="00AF2D51">
      <w:pPr>
        <w:tabs>
          <w:tab w:val="left" w:pos="426"/>
        </w:tabs>
        <w:spacing w:before="40" w:after="40" w:line="276" w:lineRule="auto"/>
        <w:jc w:val="both"/>
        <w:rPr>
          <w:rFonts w:asciiTheme="minorHAnsi" w:hAnsiTheme="minorHAnsi" w:cs="Arial"/>
        </w:rPr>
      </w:pPr>
      <w:r w:rsidRPr="00AF2D51">
        <w:rPr>
          <w:rFonts w:asciiTheme="minorHAnsi" w:hAnsiTheme="minorHAnsi" w:cs="Arial"/>
        </w:rPr>
        <w:t xml:space="preserve">Liczba punktów = (najniższa cena / cena badanej oferty) x 100 pkt. </w:t>
      </w:r>
    </w:p>
    <w:p w:rsidR="00AF2D51" w:rsidRPr="00AF2D51" w:rsidRDefault="00AF2D51" w:rsidP="00AF2D51">
      <w:pPr>
        <w:tabs>
          <w:tab w:val="left" w:pos="426"/>
        </w:tabs>
        <w:spacing w:before="40" w:after="40" w:line="276" w:lineRule="auto"/>
        <w:jc w:val="both"/>
        <w:rPr>
          <w:rFonts w:asciiTheme="minorHAnsi" w:hAnsiTheme="minorHAnsi" w:cs="Arial"/>
        </w:rPr>
      </w:pPr>
    </w:p>
    <w:p w:rsidR="00AF2D51" w:rsidRDefault="00AF2D51" w:rsidP="00AF2D51">
      <w:pPr>
        <w:tabs>
          <w:tab w:val="left" w:pos="426"/>
        </w:tabs>
        <w:spacing w:before="40" w:after="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4. </w:t>
      </w:r>
      <w:r w:rsidRPr="00AF2D51">
        <w:rPr>
          <w:rFonts w:asciiTheme="minorHAnsi" w:hAnsiTheme="minorHAnsi" w:cs="Arial"/>
        </w:rPr>
        <w:t>W kryterium cena Wykonawca może otrzymać maksymalnie 100 pkt.</w:t>
      </w:r>
    </w:p>
    <w:p w:rsidR="00AF2D51" w:rsidRPr="00AF2D51" w:rsidRDefault="00AF2D51" w:rsidP="00AF2D51">
      <w:pPr>
        <w:tabs>
          <w:tab w:val="left" w:pos="426"/>
        </w:tabs>
        <w:spacing w:before="40" w:after="40" w:line="276" w:lineRule="auto"/>
        <w:jc w:val="both"/>
        <w:rPr>
          <w:rFonts w:asciiTheme="minorHAnsi" w:hAnsiTheme="minorHAnsi" w:cs="Arial"/>
        </w:rPr>
      </w:pPr>
    </w:p>
    <w:p w:rsidR="00333B0B" w:rsidRPr="00AF2D51" w:rsidRDefault="00333B0B" w:rsidP="00AF2D51">
      <w:pPr>
        <w:tabs>
          <w:tab w:val="left" w:pos="426"/>
        </w:tabs>
        <w:spacing w:before="40" w:after="40" w:line="360" w:lineRule="auto"/>
        <w:jc w:val="both"/>
        <w:rPr>
          <w:rFonts w:asciiTheme="minorHAnsi" w:hAnsiTheme="minorHAnsi" w:cs="Arial"/>
          <w:b/>
          <w:szCs w:val="20"/>
        </w:rPr>
      </w:pPr>
      <w:r w:rsidRPr="00AF2D51">
        <w:rPr>
          <w:rFonts w:asciiTheme="minorHAnsi" w:hAnsiTheme="minorHAnsi" w:cs="Arial"/>
          <w:b/>
          <w:szCs w:val="20"/>
        </w:rPr>
        <w:t>V</w:t>
      </w:r>
      <w:r w:rsidR="00AF2D51">
        <w:rPr>
          <w:rFonts w:asciiTheme="minorHAnsi" w:hAnsiTheme="minorHAnsi" w:cs="Arial"/>
          <w:b/>
          <w:szCs w:val="20"/>
        </w:rPr>
        <w:t>I</w:t>
      </w:r>
      <w:r w:rsidRPr="00AF2D51">
        <w:rPr>
          <w:rFonts w:asciiTheme="minorHAnsi" w:hAnsiTheme="minorHAnsi" w:cs="Arial"/>
          <w:b/>
          <w:szCs w:val="20"/>
        </w:rPr>
        <w:t>.   TERMIN SKŁADANIA OFERT</w:t>
      </w:r>
      <w:r>
        <w:rPr>
          <w:rFonts w:asciiTheme="minorHAnsi" w:hAnsiTheme="minorHAnsi" w:cs="Arial"/>
          <w:b/>
          <w:szCs w:val="20"/>
        </w:rPr>
        <w:t xml:space="preserve"> ORAZ REALIZACJI UMOWY</w:t>
      </w:r>
    </w:p>
    <w:p w:rsidR="00333B0B" w:rsidRDefault="00333B0B" w:rsidP="00333B0B">
      <w:r>
        <w:t>1</w:t>
      </w:r>
      <w:r>
        <w:t xml:space="preserve">. Okres realizacji umowy: </w:t>
      </w:r>
      <w:r>
        <w:rPr>
          <w:b/>
          <w:bCs/>
        </w:rPr>
        <w:t>od dnia podpisanie umowy (planowany termin przełom lutego i marca 2018) do 31 grudnia 2018 r</w:t>
      </w:r>
      <w:r>
        <w:t>.</w:t>
      </w:r>
    </w:p>
    <w:p w:rsidR="00333B0B" w:rsidRDefault="00333B0B" w:rsidP="00333B0B">
      <w:r>
        <w:t>W przypadku, gdy na dzień zakończenia obowiązywania umowy, o którym mowa powyżej, pozostaną niewykorzystane limity kopii/wydruków w całym okresie obowiązywania umowy, umowa ulega przedłużeniu do czasu faktycznego wykorzystania limitów.</w:t>
      </w:r>
    </w:p>
    <w:p w:rsidR="00333B0B" w:rsidRDefault="00333B0B" w:rsidP="00AF2D51"/>
    <w:p w:rsidR="00333B0B" w:rsidRDefault="00333B0B" w:rsidP="00AF2D51">
      <w:r>
        <w:t xml:space="preserve">2. </w:t>
      </w:r>
      <w:r w:rsidRPr="00AF2D51">
        <w:t xml:space="preserve">Ofertę </w:t>
      </w:r>
      <w:r>
        <w:t xml:space="preserve">(wraz z załącznikami) </w:t>
      </w:r>
      <w:r w:rsidRPr="00AF2D51">
        <w:t xml:space="preserve">należy złożyć pocztą elektroniczną (jako skan podpisanych dokumentów) na adres: </w:t>
      </w:r>
      <w:hyperlink r:id="rId6" w:history="1">
        <w:r>
          <w:rPr>
            <w:rStyle w:val="Hipercze"/>
            <w:color w:val="auto"/>
          </w:rPr>
          <w:t>tnabozniak@wzp.pl</w:t>
        </w:r>
      </w:hyperlink>
      <w:r>
        <w:t>.</w:t>
      </w:r>
    </w:p>
    <w:p w:rsidR="00333B0B" w:rsidRPr="00AF2D51" w:rsidRDefault="00333B0B" w:rsidP="00AF2D51"/>
    <w:p w:rsidR="00333B0B" w:rsidRPr="00AF2D51" w:rsidRDefault="00333B0B" w:rsidP="00AF2D51">
      <w:r>
        <w:t xml:space="preserve">3. </w:t>
      </w:r>
      <w:r w:rsidRPr="00AF2D51">
        <w:t>Oferty należy złożyć w nieprzekraczalnym terminie do dnia  </w:t>
      </w:r>
      <w:r w:rsidRPr="00AF2D51">
        <w:rPr>
          <w:b/>
        </w:rPr>
        <w:t>2</w:t>
      </w:r>
      <w:r w:rsidR="00B15730">
        <w:rPr>
          <w:b/>
        </w:rPr>
        <w:t>1</w:t>
      </w:r>
      <w:r w:rsidRPr="00AF2D51">
        <w:rPr>
          <w:b/>
        </w:rPr>
        <w:t xml:space="preserve"> lutego 2018 r.</w:t>
      </w:r>
      <w:r w:rsidRPr="00AF2D51">
        <w:t xml:space="preserve"> do godz. </w:t>
      </w:r>
      <w:r w:rsidR="00B15730">
        <w:rPr>
          <w:b/>
        </w:rPr>
        <w:t>14</w:t>
      </w:r>
      <w:r w:rsidRPr="00AF2D51">
        <w:rPr>
          <w:b/>
        </w:rPr>
        <w:t>:00</w:t>
      </w:r>
    </w:p>
    <w:p w:rsidR="00333B0B" w:rsidRDefault="00333B0B" w:rsidP="00AF2D51"/>
    <w:p w:rsidR="00333B0B" w:rsidRPr="00AF2D51" w:rsidRDefault="00333B0B" w:rsidP="00AF2D51">
      <w:pPr>
        <w:rPr>
          <w:b/>
        </w:rPr>
      </w:pPr>
      <w:r w:rsidRPr="00AF2D51">
        <w:rPr>
          <w:b/>
        </w:rPr>
        <w:t xml:space="preserve">4. Za chwilę złożenia oferty uznaje się datę i godzinę wpływu oferty na pocztę elektroniczną Zamawiającego a nie chwilę nadania wiadomości przez Wykonawcę. </w:t>
      </w:r>
    </w:p>
    <w:p w:rsidR="00333B0B" w:rsidRDefault="00333B0B" w:rsidP="00AF2D51"/>
    <w:p w:rsidR="00333B0B" w:rsidRPr="00AF2D51" w:rsidRDefault="00333B0B" w:rsidP="00AF2D51">
      <w:r>
        <w:t xml:space="preserve">5. </w:t>
      </w:r>
      <w:r w:rsidRPr="00AF2D51">
        <w:t>Oferty złożone po wyznaczonym terminie nie będą rozpatrywane.</w:t>
      </w:r>
    </w:p>
    <w:p w:rsidR="00333B0B" w:rsidRDefault="00333B0B" w:rsidP="00076E9C"/>
    <w:p w:rsidR="00333B0B" w:rsidRPr="00AF2D51" w:rsidRDefault="00333B0B" w:rsidP="00AF2D51">
      <w:pPr>
        <w:tabs>
          <w:tab w:val="left" w:pos="426"/>
        </w:tabs>
        <w:spacing w:before="40" w:after="40" w:line="360" w:lineRule="auto"/>
        <w:jc w:val="both"/>
        <w:rPr>
          <w:rFonts w:asciiTheme="minorHAnsi" w:hAnsiTheme="minorHAnsi" w:cs="Arial"/>
          <w:b/>
          <w:szCs w:val="20"/>
        </w:rPr>
      </w:pPr>
      <w:r w:rsidRPr="00AF2D51">
        <w:rPr>
          <w:rFonts w:asciiTheme="minorHAnsi" w:hAnsiTheme="minorHAnsi"/>
          <w:b/>
        </w:rPr>
        <w:t>V</w:t>
      </w:r>
      <w:r w:rsidR="00AF2D51">
        <w:rPr>
          <w:rFonts w:asciiTheme="minorHAnsi" w:hAnsiTheme="minorHAnsi"/>
          <w:b/>
        </w:rPr>
        <w:t>I</w:t>
      </w:r>
      <w:r w:rsidRPr="00AF2D51">
        <w:rPr>
          <w:rFonts w:asciiTheme="minorHAnsi" w:hAnsiTheme="minorHAnsi"/>
          <w:b/>
        </w:rPr>
        <w:t>I.      UNIEWAŻNIENIE POSTĘPOWANIA</w:t>
      </w:r>
    </w:p>
    <w:p w:rsidR="00333B0B" w:rsidRDefault="00333B0B" w:rsidP="00AF2D51">
      <w:r>
        <w:t xml:space="preserve">1. </w:t>
      </w:r>
      <w:r w:rsidRPr="00AF2D51">
        <w:t xml:space="preserve">Zamawiający zastrzega sobie prawo do odstąpienia, bądź unieważnienia postępowania na każdym jego etapie bez podania przyczyny. </w:t>
      </w:r>
    </w:p>
    <w:p w:rsidR="00333B0B" w:rsidRDefault="00333B0B" w:rsidP="00AF2D51"/>
    <w:p w:rsidR="00333B0B" w:rsidRPr="00AF2D51" w:rsidRDefault="00333B0B" w:rsidP="00AF2D51">
      <w:pPr>
        <w:tabs>
          <w:tab w:val="left" w:pos="426"/>
        </w:tabs>
        <w:spacing w:before="40" w:after="40"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="00AF2D51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II</w:t>
      </w:r>
      <w:r w:rsidRPr="00AF2D51">
        <w:rPr>
          <w:rFonts w:asciiTheme="minorHAnsi" w:hAnsiTheme="minorHAnsi"/>
        </w:rPr>
        <w:t>.   DODATKOWE INFORMACJE</w:t>
      </w:r>
    </w:p>
    <w:p w:rsidR="00333B0B" w:rsidRDefault="00333B0B" w:rsidP="00AF2D51">
      <w:r>
        <w:t xml:space="preserve">1. </w:t>
      </w:r>
      <w:r w:rsidRPr="00AF2D51">
        <w:t xml:space="preserve">Dodatkowe informacje udzielane są przez </w:t>
      </w:r>
      <w:r>
        <w:t xml:space="preserve">pana Tomasza </w:t>
      </w:r>
      <w:proofErr w:type="spellStart"/>
      <w:r>
        <w:t>Nabożniaka</w:t>
      </w:r>
      <w:proofErr w:type="spellEnd"/>
      <w:r>
        <w:t>, email: tnabozniak</w:t>
      </w:r>
      <w:r w:rsidRPr="00AF2D51">
        <w:t>@wzp.pl</w:t>
      </w:r>
      <w:r>
        <w:t>,</w:t>
      </w:r>
      <w:r w:rsidRPr="00AF2D51">
        <w:t xml:space="preserve"> </w:t>
      </w:r>
      <w:proofErr w:type="spellStart"/>
      <w:r>
        <w:t>tel</w:t>
      </w:r>
      <w:proofErr w:type="spellEnd"/>
      <w:r>
        <w:t>: +48 91 44 11 433 lub 607 287 675.</w:t>
      </w:r>
    </w:p>
    <w:p w:rsidR="00333B0B" w:rsidRPr="00AF2D51" w:rsidRDefault="00333B0B" w:rsidP="00AF2D51"/>
    <w:p w:rsidR="00333B0B" w:rsidRDefault="00333B0B" w:rsidP="00AF2D51">
      <w:r>
        <w:t xml:space="preserve">2. </w:t>
      </w:r>
      <w:r w:rsidRPr="00AF2D51">
        <w:t>Przed złożeniem oferty należy zapoznać się z projektem umowy załączonym do niniejszego zapytania.</w:t>
      </w:r>
    </w:p>
    <w:p w:rsidR="00333B0B" w:rsidRPr="00AF2D51" w:rsidRDefault="00333B0B" w:rsidP="00AF2D51"/>
    <w:p w:rsidR="00333B0B" w:rsidRPr="00AF2D51" w:rsidRDefault="00333B0B" w:rsidP="00AF2D51">
      <w:r>
        <w:t xml:space="preserve">3. </w:t>
      </w:r>
      <w:r w:rsidRPr="00AF2D51">
        <w:t>Oferta musi być podpisana przez osobę upoważnioną do reprezentacji Wykonawcy. Jeżeli umocowanie do podpisania oferty nie wynika z dokumentów rejestrowych, to konieczne jest złożenie wraz z ofertą pełnomocnictwa do reprezentacji Wykonawcy. W celu potwierdzenia sposobu reprezentacji Wykonawcy zaleca się wskazanie w ofercie adresu internetowego ogólnodostępnej i bezpłatnej bazy danych, z których zamawiający może pobrać samodzielnie odpis z właściwego rejestru/centralnej ewidencji i informacji o działalności gospodarczej.</w:t>
      </w:r>
    </w:p>
    <w:p w:rsidR="00333B0B" w:rsidRDefault="00333B0B" w:rsidP="00AF2D51"/>
    <w:p w:rsidR="00333B0B" w:rsidRPr="00AF2D51" w:rsidRDefault="00333B0B" w:rsidP="00AF2D51">
      <w:r>
        <w:t xml:space="preserve">4. </w:t>
      </w:r>
      <w:r w:rsidRPr="00AF2D51">
        <w:t>Zaleca się by do oferty dołączyć podstawowe informacje na temat wykonawcy prezentujące w szczególności profil działalności, dotychczasowe doświadczenia, charakterystykę wykonawcy.</w:t>
      </w:r>
    </w:p>
    <w:p w:rsidR="00333B0B" w:rsidRDefault="00333B0B" w:rsidP="00AF2D51"/>
    <w:p w:rsidR="00333B0B" w:rsidRPr="00AF2D51" w:rsidRDefault="00333B0B" w:rsidP="00AF2D51">
      <w:r>
        <w:t xml:space="preserve">5. </w:t>
      </w:r>
      <w:r w:rsidRPr="00AF2D51">
        <w:t xml:space="preserve">Wykonawca będzie związany złożoną ofertą przez okres 30 dni od upływu terminu składania ofert. </w:t>
      </w:r>
    </w:p>
    <w:p w:rsidR="00333B0B" w:rsidRDefault="00333B0B" w:rsidP="00AF2D51"/>
    <w:p w:rsidR="00333B0B" w:rsidRPr="00AF2D51" w:rsidRDefault="00333B0B" w:rsidP="00AF2D51">
      <w:r>
        <w:t xml:space="preserve">6. </w:t>
      </w:r>
      <w:r w:rsidRPr="00AF2D51">
        <w:t xml:space="preserve">Zamawiający informuje, że jest uprawniony do weryfikacji wszystkich informacji, jakie są podawane przez Wykonawców. Jeżeli efektem prowadzonej weryfikacji będzie przykładowo stwierdzenie celowego podawania nieprawdziwych informacji Zamawiający odrzuci ofertę wykonawcy. </w:t>
      </w:r>
    </w:p>
    <w:p w:rsidR="00333B0B" w:rsidRDefault="00333B0B" w:rsidP="00AF2D51"/>
    <w:p w:rsidR="00333B0B" w:rsidRPr="00AF2D51" w:rsidRDefault="00333B0B" w:rsidP="00AF2D51">
      <w:r>
        <w:t xml:space="preserve">7. </w:t>
      </w:r>
      <w:r w:rsidRPr="00AF2D51">
        <w:t xml:space="preserve">Zamawiający jest uprawniony do żądania od wykonawców uzupełniania/wyjaśnienia dokumentów, składania wszelkich wyjaśnień w zakresie związanym z prowadzonym postępowaniem. Wyjaśnienia mogą dotyczyć przykładowo warunków udziału w postępowaniu. </w:t>
      </w:r>
    </w:p>
    <w:p w:rsidR="00333B0B" w:rsidRDefault="00333B0B" w:rsidP="00AF2D51"/>
    <w:p w:rsidR="00333B0B" w:rsidRPr="00AF2D51" w:rsidRDefault="00333B0B" w:rsidP="00AF2D51">
      <w:r>
        <w:t xml:space="preserve">8. </w:t>
      </w:r>
      <w:r w:rsidRPr="00AF2D51">
        <w:t>Zamawiający zastrzega sobie możliwość nie odpowiadania na oferty, jak i nie zawarcia umowy z którymkolwiek z wykonawców.</w:t>
      </w:r>
    </w:p>
    <w:p w:rsidR="00333B0B" w:rsidRDefault="00333B0B" w:rsidP="00AF2D51"/>
    <w:p w:rsidR="00333B0B" w:rsidRPr="00AF2D51" w:rsidRDefault="00333B0B" w:rsidP="00AF2D51">
      <w:r>
        <w:t xml:space="preserve">9. </w:t>
      </w:r>
      <w:r w:rsidRPr="00AF2D51">
        <w:t>Zamawiający informuje, że przewiduje możliwość wezwania do złożenia oferty dodatkowej. Skorzystanie z takiej możliwości będzie ograniczone do dwóch ofert przedstawiających najkorzystniejszy bilans punktowy w ramach stosowanych kryteriów i będzie polegało na zaproszeniu obydwu wykonawców do złożenia ofert dodatkowych w ramach wskazanych kryteriów. Wystosowanie wezwania o jakim mowa w poprzednim zdaniu nastąpi tylko jeden raz.</w:t>
      </w:r>
    </w:p>
    <w:p w:rsidR="00333B0B" w:rsidRDefault="00333B0B" w:rsidP="00AF2D51"/>
    <w:p w:rsidR="00333B0B" w:rsidRPr="00AF2D51" w:rsidRDefault="00333B0B" w:rsidP="00AF2D51">
      <w:r>
        <w:t xml:space="preserve">10. </w:t>
      </w:r>
      <w:r w:rsidRPr="00AF2D51">
        <w:t xml:space="preserve">Niniejsze zapytanie nie stanowi podstawy do roszczeń dotyczących zawarcia umowy, a propozycje składane przez zainteresowane podmioty nie są ofertami w rozumieniu kodeksu cywilnego. </w:t>
      </w:r>
    </w:p>
    <w:p w:rsidR="00333B0B" w:rsidRDefault="00333B0B" w:rsidP="00AF2D51"/>
    <w:p w:rsidR="00333B0B" w:rsidRPr="00AF2D51" w:rsidRDefault="00333B0B" w:rsidP="00AF2D51">
      <w:r>
        <w:t xml:space="preserve">11. </w:t>
      </w:r>
      <w:r w:rsidRPr="00AF2D51">
        <w:t xml:space="preserve">Niniejsze zamówienie jest wyłączone spod stosowania ustawy </w:t>
      </w:r>
      <w:proofErr w:type="spellStart"/>
      <w:r w:rsidRPr="00AF2D51">
        <w:t>p.z.p</w:t>
      </w:r>
      <w:proofErr w:type="spellEnd"/>
      <w:r w:rsidRPr="00AF2D51">
        <w:t xml:space="preserve">. na podstawie art. 4 pkt 8 </w:t>
      </w:r>
      <w:proofErr w:type="spellStart"/>
      <w:r w:rsidRPr="00AF2D51">
        <w:t>p.z.p</w:t>
      </w:r>
      <w:proofErr w:type="spellEnd"/>
      <w:r w:rsidRPr="00AF2D51">
        <w:t>.</w:t>
      </w:r>
    </w:p>
    <w:p w:rsidR="00333B0B" w:rsidRDefault="00333B0B" w:rsidP="00AF2D51"/>
    <w:p w:rsidR="00333B0B" w:rsidRPr="00AF2D51" w:rsidRDefault="00333B0B" w:rsidP="00AF2D51">
      <w:r>
        <w:t xml:space="preserve">12. </w:t>
      </w:r>
      <w:r w:rsidRPr="00AF2D51">
        <w:t xml:space="preserve"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</w:t>
      </w:r>
      <w:hyperlink r:id="rId7" w:history="1">
        <w:r w:rsidRPr="00AF2D51">
          <w:t>www.bip.wzp.pl</w:t>
        </w:r>
      </w:hyperlink>
      <w:r w:rsidRPr="00AF2D51">
        <w:t>. Jeżeli w wyniku zmiany zapytania ofertowego niezbędny będzie dodatkowy czas na przygotowanie nowej oferty lub wprowadzenie zmian w ofercie pierwotnej, Zamawiający przedłuży termin składania ofert.</w:t>
      </w:r>
    </w:p>
    <w:p w:rsidR="00076E9C" w:rsidRDefault="00076E9C" w:rsidP="00076E9C"/>
    <w:p w:rsidR="00076E9C" w:rsidRDefault="00076E9C" w:rsidP="00076E9C"/>
    <w:p w:rsidR="0007650B" w:rsidRPr="00AF2D51" w:rsidRDefault="0007650B" w:rsidP="00AF2D51">
      <w:pPr>
        <w:spacing w:line="360" w:lineRule="auto"/>
        <w:rPr>
          <w:rFonts w:asciiTheme="minorHAnsi" w:hAnsiTheme="minorHAnsi" w:cs="Arial"/>
        </w:rPr>
      </w:pPr>
      <w:r w:rsidRPr="00AF2D51">
        <w:rPr>
          <w:rFonts w:asciiTheme="minorHAnsi" w:hAnsiTheme="minorHAnsi" w:cs="Arial"/>
          <w:u w:val="single"/>
        </w:rPr>
        <w:t>Załączniki do Zapytania ofertowego</w:t>
      </w:r>
      <w:r w:rsidRPr="00AF2D51">
        <w:rPr>
          <w:rFonts w:asciiTheme="minorHAnsi" w:hAnsiTheme="minorHAnsi" w:cs="Arial"/>
        </w:rPr>
        <w:t>:</w:t>
      </w:r>
    </w:p>
    <w:p w:rsidR="0007650B" w:rsidRPr="00AF2D51" w:rsidRDefault="0007650B" w:rsidP="00AF2D51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="Arial"/>
        </w:rPr>
      </w:pPr>
      <w:r w:rsidRPr="00AF2D51">
        <w:rPr>
          <w:rFonts w:asciiTheme="minorHAnsi" w:hAnsiTheme="minorHAnsi" w:cs="Arial"/>
        </w:rPr>
        <w:t>Wzór umowy.</w:t>
      </w:r>
    </w:p>
    <w:p w:rsidR="0007650B" w:rsidRPr="00AF2D51" w:rsidRDefault="0007650B" w:rsidP="00AF2D51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="Arial"/>
        </w:rPr>
      </w:pPr>
      <w:r w:rsidRPr="00AF2D51">
        <w:rPr>
          <w:rFonts w:asciiTheme="minorHAnsi" w:hAnsiTheme="minorHAnsi" w:cs="Arial"/>
        </w:rPr>
        <w:t>Oferta cenowa.</w:t>
      </w:r>
    </w:p>
    <w:p w:rsidR="0007650B" w:rsidRPr="00AF2D51" w:rsidRDefault="0007650B" w:rsidP="00AF2D51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="Arial"/>
        </w:rPr>
      </w:pPr>
      <w:r w:rsidRPr="00AF2D51">
        <w:rPr>
          <w:rFonts w:asciiTheme="minorHAnsi" w:hAnsiTheme="minorHAnsi" w:cs="Arial"/>
        </w:rPr>
        <w:t>Oświadczenia Wykonawcy.</w:t>
      </w:r>
    </w:p>
    <w:p w:rsidR="009702E1" w:rsidRDefault="009702E1"/>
    <w:p w:rsidR="00FF4AE6" w:rsidRDefault="00FF4AE6"/>
    <w:p w:rsidR="00FF4AE6" w:rsidRDefault="00FF4AE6"/>
    <w:sectPr w:rsidR="00FF4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B68"/>
    <w:multiLevelType w:val="hybridMultilevel"/>
    <w:tmpl w:val="85FEC606"/>
    <w:lvl w:ilvl="0" w:tplc="943E8C3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A564B"/>
    <w:multiLevelType w:val="hybridMultilevel"/>
    <w:tmpl w:val="EFD0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35C56"/>
    <w:multiLevelType w:val="hybridMultilevel"/>
    <w:tmpl w:val="839A4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F30CE"/>
    <w:multiLevelType w:val="hybridMultilevel"/>
    <w:tmpl w:val="310E2E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66A5302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CE3D0B"/>
    <w:multiLevelType w:val="hybridMultilevel"/>
    <w:tmpl w:val="310E2E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66A5302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B35A7F"/>
    <w:multiLevelType w:val="hybridMultilevel"/>
    <w:tmpl w:val="0A34A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9C"/>
    <w:rsid w:val="0007650B"/>
    <w:rsid w:val="00076E9C"/>
    <w:rsid w:val="000D1DA4"/>
    <w:rsid w:val="000F15E0"/>
    <w:rsid w:val="00105F4A"/>
    <w:rsid w:val="0013585B"/>
    <w:rsid w:val="00195EEF"/>
    <w:rsid w:val="00305DE4"/>
    <w:rsid w:val="00333B0B"/>
    <w:rsid w:val="00333C63"/>
    <w:rsid w:val="00337318"/>
    <w:rsid w:val="003410F9"/>
    <w:rsid w:val="00346E40"/>
    <w:rsid w:val="004402BE"/>
    <w:rsid w:val="00473C64"/>
    <w:rsid w:val="004776C5"/>
    <w:rsid w:val="006C70E3"/>
    <w:rsid w:val="00733600"/>
    <w:rsid w:val="00735A25"/>
    <w:rsid w:val="008D4853"/>
    <w:rsid w:val="008D7407"/>
    <w:rsid w:val="00952CC4"/>
    <w:rsid w:val="00967F0F"/>
    <w:rsid w:val="009702E1"/>
    <w:rsid w:val="009A204B"/>
    <w:rsid w:val="009F3DF6"/>
    <w:rsid w:val="00AD437F"/>
    <w:rsid w:val="00AF2D51"/>
    <w:rsid w:val="00B15730"/>
    <w:rsid w:val="00C14E07"/>
    <w:rsid w:val="00CA40C7"/>
    <w:rsid w:val="00CF5F92"/>
    <w:rsid w:val="00D20BCD"/>
    <w:rsid w:val="00DD6614"/>
    <w:rsid w:val="00E27F45"/>
    <w:rsid w:val="00F04CC4"/>
    <w:rsid w:val="00F76682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E9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6E9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6E9C"/>
    <w:pPr>
      <w:ind w:left="720"/>
    </w:pPr>
  </w:style>
  <w:style w:type="paragraph" w:customStyle="1" w:styleId="Tre">
    <w:name w:val="Treść"/>
    <w:rsid w:val="006C70E3"/>
    <w:pPr>
      <w:spacing w:after="160" w:line="240" w:lineRule="auto"/>
      <w:jc w:val="both"/>
    </w:pPr>
    <w:rPr>
      <w:rFonts w:ascii="Times" w:eastAsia="ヒラギノ角ゴ Pro W3" w:hAnsi="Times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C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C6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33B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3B0B"/>
    <w:rPr>
      <w:b/>
      <w:bCs/>
    </w:rPr>
  </w:style>
  <w:style w:type="paragraph" w:styleId="Bezodstpw">
    <w:name w:val="No Spacing"/>
    <w:uiPriority w:val="1"/>
    <w:qFormat/>
    <w:rsid w:val="00AF2D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E9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6E9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6E9C"/>
    <w:pPr>
      <w:ind w:left="720"/>
    </w:pPr>
  </w:style>
  <w:style w:type="paragraph" w:customStyle="1" w:styleId="Tre">
    <w:name w:val="Treść"/>
    <w:rsid w:val="006C70E3"/>
    <w:pPr>
      <w:spacing w:after="160" w:line="240" w:lineRule="auto"/>
      <w:jc w:val="both"/>
    </w:pPr>
    <w:rPr>
      <w:rFonts w:ascii="Times" w:eastAsia="ヒラギノ角ゴ Pro W3" w:hAnsi="Times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C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C6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33B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3B0B"/>
    <w:rPr>
      <w:b/>
      <w:bCs/>
    </w:rPr>
  </w:style>
  <w:style w:type="paragraph" w:styleId="Bezodstpw">
    <w:name w:val="No Spacing"/>
    <w:uiPriority w:val="1"/>
    <w:qFormat/>
    <w:rsid w:val="00AF2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abozniak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1667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Nabożniak</dc:creator>
  <cp:lastModifiedBy>Marcin Bandosz 3</cp:lastModifiedBy>
  <cp:revision>12</cp:revision>
  <dcterms:created xsi:type="dcterms:W3CDTF">2018-02-15T07:51:00Z</dcterms:created>
  <dcterms:modified xsi:type="dcterms:W3CDTF">2018-02-15T12:26:00Z</dcterms:modified>
</cp:coreProperties>
</file>