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55" w:rsidRPr="00533855" w:rsidRDefault="00533855" w:rsidP="00533855">
      <w:pPr>
        <w:rPr>
          <w:rFonts w:ascii="Myriad Pro" w:hAnsi="Myriad Pro"/>
          <w:b/>
          <w:sz w:val="20"/>
          <w:szCs w:val="20"/>
        </w:rPr>
      </w:pPr>
      <w:r w:rsidRPr="00533855">
        <w:rPr>
          <w:rFonts w:ascii="Myriad Pro" w:hAnsi="Myriad Pro"/>
          <w:b/>
          <w:sz w:val="20"/>
          <w:szCs w:val="20"/>
        </w:rPr>
        <w:t>Załącznik XI Projekty komplementarne</w:t>
      </w:r>
    </w:p>
    <w:p w:rsidR="00533855" w:rsidRPr="00533855" w:rsidRDefault="00533855" w:rsidP="00533855">
      <w:pPr>
        <w:spacing w:after="0"/>
        <w:rPr>
          <w:rFonts w:ascii="Myriad Pro" w:hAnsi="Myriad Pro"/>
          <w:sz w:val="20"/>
          <w:szCs w:val="20"/>
        </w:rPr>
      </w:pPr>
      <w:r w:rsidRPr="00533855">
        <w:rPr>
          <w:rFonts w:ascii="Myriad Pro" w:hAnsi="Myriad Pro"/>
          <w:sz w:val="20"/>
          <w:szCs w:val="20"/>
        </w:rPr>
        <w:t>Wartości dofinansowania zostały przeliczone na Euro  według kursu spra</w:t>
      </w:r>
      <w:r>
        <w:rPr>
          <w:rFonts w:ascii="Myriad Pro" w:hAnsi="Myriad Pro"/>
          <w:sz w:val="20"/>
          <w:szCs w:val="20"/>
        </w:rPr>
        <w:t>wozdawczego, który wynosi 4,1771</w:t>
      </w:r>
    </w:p>
    <w:p w:rsidR="00533855" w:rsidRPr="00533855" w:rsidRDefault="00533855" w:rsidP="00533855">
      <w:pPr>
        <w:spacing w:after="0"/>
        <w:rPr>
          <w:rFonts w:ascii="Myriad Pro" w:hAnsi="Myriad Pro"/>
          <w:sz w:val="20"/>
          <w:szCs w:val="20"/>
        </w:rPr>
      </w:pPr>
      <w:r w:rsidRPr="00533855">
        <w:rPr>
          <w:rFonts w:ascii="Myriad Pro" w:hAnsi="Myriad Pro"/>
          <w:sz w:val="20"/>
          <w:szCs w:val="20"/>
        </w:rPr>
        <w:t>Dan</w:t>
      </w:r>
      <w:r>
        <w:rPr>
          <w:rFonts w:ascii="Myriad Pro" w:hAnsi="Myriad Pro"/>
          <w:sz w:val="20"/>
          <w:szCs w:val="20"/>
        </w:rPr>
        <w:t>e, są zgodne ze stanem z dnia 31.12.2016 r.</w:t>
      </w:r>
      <w:r w:rsidRPr="00533855">
        <w:rPr>
          <w:rFonts w:ascii="Myriad Pro" w:hAnsi="Myriad Pro"/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551"/>
        <w:gridCol w:w="2162"/>
        <w:gridCol w:w="2281"/>
        <w:gridCol w:w="2162"/>
        <w:gridCol w:w="2609"/>
      </w:tblGrid>
      <w:tr w:rsidR="00D76FFE" w:rsidRPr="009035BF" w:rsidTr="00F4135B">
        <w:trPr>
          <w:trHeight w:val="300"/>
        </w:trPr>
        <w:tc>
          <w:tcPr>
            <w:tcW w:w="6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6FFE" w:rsidRPr="009035BF" w:rsidRDefault="009035BF" w:rsidP="00D76FF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Przedsiębiorczość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6FFE" w:rsidRPr="009035BF" w:rsidRDefault="00D76FFE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6FFE" w:rsidRPr="009035BF" w:rsidRDefault="00D76FFE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6FFE" w:rsidRPr="009035BF" w:rsidRDefault="00D76FFE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76FFE" w:rsidRPr="009035BF" w:rsidTr="00D76FFE">
        <w:trPr>
          <w:trHeight w:val="315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D76FFE" w:rsidRPr="009035BF" w:rsidRDefault="00D76FFE" w:rsidP="00F4135B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Projekty komplementarne</w:t>
            </w:r>
          </w:p>
        </w:tc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 czym polega komplementarność projektów?</w:t>
            </w:r>
          </w:p>
        </w:tc>
      </w:tr>
      <w:tr w:rsidR="00D76FFE" w:rsidRPr="009035BF" w:rsidTr="00D76FFE">
        <w:trPr>
          <w:trHeight w:val="31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FFE" w:rsidRPr="009035BF" w:rsidRDefault="00D76FFE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4</w:t>
            </w:r>
          </w:p>
        </w:tc>
        <w:tc>
          <w:tcPr>
            <w:tcW w:w="2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FFE" w:rsidRPr="009035BF" w:rsidRDefault="00D76FFE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76FFE" w:rsidRPr="009035BF" w:rsidTr="00D76FFE">
        <w:trPr>
          <w:trHeight w:val="429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555D9A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Budowa instalacji do obróbki powierzchni konstrukcji stalowych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A11B00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Wdrożenie Systemu Zakładowej Kontroli Produkcji wg normy PN-EN ISO 1090-1:2010 oraz PN-EN ISO 1090-2:2009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A11B00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Implementacja Zintegrowanego Systemu Zarządzania wg normy EN ISO 9001:2008 oraz ISO 3834 - 2 : 2007 drogą do poprawy konkurencyjności firmy SINKOS Sp. z o.o.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A11B00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Wdrożenie technologii spawania stali duplex w połączonej metodzie rulonowej i swobodnego podparcia</w:t>
            </w:r>
          </w:p>
        </w:tc>
        <w:tc>
          <w:tcPr>
            <w:tcW w:w="2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FFE" w:rsidRPr="009035BF" w:rsidRDefault="009035BF" w:rsidP="00F4135B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Realizacja projektów miała wpływ na podniesienie konkurencyjności firmy, pozwalając na  poszerzenie zakresu świadczonych usług, oraz na wzmocnienie pozycji firmy na rynku europejskim poprzez wdrożenie systemów  ISO pozwalających na certyfikację wyrobów.</w:t>
            </w:r>
          </w:p>
        </w:tc>
      </w:tr>
      <w:tr w:rsidR="00D76FFE" w:rsidRPr="009035BF" w:rsidTr="00D76FFE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beneficjenta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3C31C3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Sinkos</w:t>
            </w:r>
            <w:proofErr w:type="spellEnd"/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Sp. z o.o.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A11B00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Sinkos</w:t>
            </w:r>
            <w:proofErr w:type="spellEnd"/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Sp. z o.o.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A11B00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Sinkos</w:t>
            </w:r>
            <w:proofErr w:type="spellEnd"/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Sp. z o.o.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A11B00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Sinkos</w:t>
            </w:r>
            <w:proofErr w:type="spellEnd"/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Sp. z o.o.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FFE" w:rsidRPr="009035BF" w:rsidRDefault="00D76FFE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F029C" w:rsidRPr="009035BF" w:rsidTr="00FF029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F029C" w:rsidRPr="009035BF" w:rsidRDefault="00FF029C" w:rsidP="00D76FF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województwa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FF029C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województwo zachodniopomorskie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FF029C" w:rsidRDefault="00FF029C" w:rsidP="00FF029C">
            <w:pPr>
              <w:spacing w:after="0"/>
              <w:rPr>
                <w:sz w:val="18"/>
              </w:rPr>
            </w:pPr>
            <w:r w:rsidRPr="00FF029C">
              <w:rPr>
                <w:sz w:val="18"/>
              </w:rPr>
              <w:t>województwo zachodniopomorskie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FF029C" w:rsidRDefault="00FF029C" w:rsidP="00FF029C">
            <w:pPr>
              <w:spacing w:after="0"/>
              <w:rPr>
                <w:sz w:val="18"/>
              </w:rPr>
            </w:pPr>
            <w:r w:rsidRPr="00FF029C">
              <w:rPr>
                <w:sz w:val="18"/>
              </w:rPr>
              <w:t>województwo zachodniopomorskie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FF029C" w:rsidRDefault="00FF029C" w:rsidP="00FF029C">
            <w:pPr>
              <w:spacing w:after="0"/>
              <w:rPr>
                <w:sz w:val="18"/>
              </w:rPr>
            </w:pPr>
            <w:r w:rsidRPr="00FF029C">
              <w:rPr>
                <w:sz w:val="18"/>
              </w:rPr>
              <w:t>województwo zachodniopomorskie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76FFE" w:rsidRPr="009035BF" w:rsidTr="00D76FFE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funduszu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414243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414243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414243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414243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FFE" w:rsidRPr="009035BF" w:rsidRDefault="00D76FFE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76FFE" w:rsidRPr="009035BF" w:rsidTr="00D76FFE">
        <w:trPr>
          <w:trHeight w:val="284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programu operacyjnego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414243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RPO WZ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414243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RPO WZ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414243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RPO WZ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A11B00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 IG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FFE" w:rsidRPr="009035BF" w:rsidRDefault="00D76FFE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76FFE" w:rsidRPr="009035BF" w:rsidTr="00D76FFE">
        <w:trPr>
          <w:trHeight w:val="426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Nr i nazwa działania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3C31C3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1.1.2.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414243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1.3.1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3A138D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1.3.1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A11B00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4.1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FFE" w:rsidRPr="009035BF" w:rsidRDefault="00D76FFE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76FFE" w:rsidRPr="009035BF" w:rsidTr="00D76FFE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Okres realizacji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A11B00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25.06.2014 – 07.11.2014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414243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12.02.2013 – 05.02.2015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3A138D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07.03.2012 – 07.12.2012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A11B00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01.01.2013 – 30.09.2015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FFE" w:rsidRPr="009035BF" w:rsidRDefault="00D76FFE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76FFE" w:rsidRPr="009035BF" w:rsidTr="00414243">
        <w:trPr>
          <w:trHeight w:val="352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3C31C3" w:rsidP="00A11B00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Zadanie polega na budowie instalacji do obróbki powierzchni konstrukcji stalowych. Kluczowymi elementami składowymi inwestycji i jednocześnie produktami projektu są hala produkcyjna, zamknięta komora </w:t>
            </w:r>
            <w:proofErr w:type="spellStart"/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ś</w:t>
            </w:r>
            <w:r w:rsidR="00A11B00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rutownicza</w:t>
            </w:r>
            <w:proofErr w:type="spellEnd"/>
            <w:r w:rsidR="00A11B00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, zamknięta kabino-suszarka przeznaczona do malowania konstrukcji czarnych, Myjka odtłuszczająca wysokociśnieniowa działająca w obiegu zamkniętym. </w:t>
            </w:r>
            <w:r w:rsidR="00A11B00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 xml:space="preserve">Bezpośrednim celem projektu </w:t>
            </w:r>
            <w:r w:rsidR="00A11B00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lastRenderedPageBreak/>
              <w:t>jest polepszenie warunków wytwarzania, tak, aby odpowiadały one współczesnym standardom międzynarodowym i w konsekwencji aby dzięki uzyskaniu lepszej jakości produktów podnieść poziom konkurencyjności i innowacyjności firmy na rynku międzynarodowym.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B30586" w:rsidP="00B30586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Celem projektu było </w:t>
            </w:r>
            <w:r w:rsidR="004142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wdrożenie Systemu Zakładowej Kontroli Produkcji wg normy PN-EN ISO 1090-1:2010 oraz PN-EN ISO 1090-2:2009. Posiadanie Systemu Zakładowej Kontroli Produkcji (ZKP) jest wymogiem Dyrektywy 89/106/EWG,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obejmujących</w:t>
            </w:r>
            <w:r w:rsidR="004142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wszystkich producentów wyrobów budowlanych. Z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KP</w:t>
            </w:r>
            <w:r w:rsidR="004142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ma </w:t>
            </w:r>
            <w:r w:rsidR="004142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na celu zapewnienie, że </w:t>
            </w:r>
            <w:r w:rsidR="004142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lastRenderedPageBreak/>
              <w:t>materiały budowlane są zgodne z norm</w:t>
            </w:r>
            <w:r w:rsidR="003A138D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ami oraz deklaracją producenta. S</w:t>
            </w:r>
            <w:r w:rsidR="004142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tosowanie ZKP jest niezbędne, aby producent mógł oznaczać swoje wyroby znakiem CE lub znakiem B. </w:t>
            </w:r>
            <w:r w:rsidR="003A138D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Uzyskanie certyfikatu systemu ZKP jest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potwierdzeniem </w:t>
            </w:r>
            <w:r w:rsidR="003A138D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jakoś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ci</w:t>
            </w:r>
            <w:r w:rsidR="003A138D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oferowanych produktów, zwiększającym przewagę konkurencyjną. </w:t>
            </w:r>
            <w:r w:rsidR="003A138D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414243" w:rsidP="007A0D85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Celem projektu było zwiększenie konkurencyjności firmy SINKOS Sp. z o.o. na krajowym i zagranicznym rynku poprzez wdrożenie oraz certyfikacje Zintegrowano Systemu Zarządzania wg EN ISO 9001:2008 oraz ISO 3834-2:2007. Wdrożenie zintegrowanego systemu było jednym z elementów strategii budowy firmy pozwalającym na sprawne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lastRenderedPageBreak/>
              <w:t>zarządzanie. Dzięki wdrożeniu zintegrowanego systemu uporządkowana została organizacje firmy, usprawniona komunikacje wewnętrzna, wyeliminowane  działania niepotrzebne i nieopłacalne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FE" w:rsidRPr="009035BF" w:rsidRDefault="007611D6" w:rsidP="007A0D85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lastRenderedPageBreak/>
              <w:t>W ramach części badawczej została opracowana i przetestowana technologia spawania zbiorników ze stali typu duplex. W ramach części  inwestycyjnej planowane są zakupy m.in. sprzętu spawalniczego, oprogramowania oraz budowa hali.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FFE" w:rsidRPr="009035BF" w:rsidRDefault="00D76FFE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76FFE" w:rsidRPr="009035BF" w:rsidTr="00A11B00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Całkowita wartość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FFE" w:rsidRPr="009035BF" w:rsidRDefault="00A11B00" w:rsidP="00A11B0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983 025,47 EUR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6FFE" w:rsidRPr="009035BF" w:rsidRDefault="00414243" w:rsidP="00F4135B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3 895,15 EUR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6FFE" w:rsidRPr="009035BF" w:rsidRDefault="00414243" w:rsidP="0041424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8 097,72 EUR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6FFE" w:rsidRPr="009035BF" w:rsidRDefault="00D76FFE" w:rsidP="00F4135B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FFE" w:rsidRPr="009035BF" w:rsidRDefault="00D76FFE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76FFE" w:rsidRPr="009035BF" w:rsidTr="00A11B00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76FFE" w:rsidRPr="009035BF" w:rsidRDefault="00D76FFE" w:rsidP="00D76FF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wkładu UE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FFE" w:rsidRPr="009035BF" w:rsidRDefault="00A11B00" w:rsidP="00A11B0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398 604,71 EUR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6FFE" w:rsidRPr="009035BF" w:rsidRDefault="00414243" w:rsidP="00F4135B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1 571,43 EUR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6FFE" w:rsidRPr="009035BF" w:rsidRDefault="00414243" w:rsidP="00F4135B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3 291,76 EUR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6FFE" w:rsidRPr="009035BF" w:rsidRDefault="00D76FFE" w:rsidP="00F4135B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FFE" w:rsidRPr="009035BF" w:rsidRDefault="00D76FFE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555D9A" w:rsidRPr="009035BF" w:rsidRDefault="00555D9A">
      <w:pPr>
        <w:rPr>
          <w:rFonts w:ascii="Myriad Pro" w:hAnsi="Myriad Pro"/>
          <w:sz w:val="18"/>
          <w:szCs w:val="18"/>
        </w:rPr>
      </w:pPr>
      <w:bookmarkStart w:id="0" w:name="_GoBack"/>
      <w:bookmarkEnd w:id="0"/>
    </w:p>
    <w:tbl>
      <w:tblPr>
        <w:tblW w:w="117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551"/>
        <w:gridCol w:w="2162"/>
        <w:gridCol w:w="2281"/>
        <w:gridCol w:w="160"/>
        <w:gridCol w:w="2449"/>
      </w:tblGrid>
      <w:tr w:rsidR="00555D9A" w:rsidRPr="009035BF" w:rsidTr="00FF029C">
        <w:trPr>
          <w:trHeight w:val="300"/>
        </w:trPr>
        <w:tc>
          <w:tcPr>
            <w:tcW w:w="6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5D9A" w:rsidRPr="009035BF" w:rsidRDefault="00555D9A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55D9A" w:rsidRPr="009035BF" w:rsidRDefault="009035BF" w:rsidP="00555D9A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Infrastruktura transportowa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5D9A" w:rsidRPr="009035BF" w:rsidRDefault="00555D9A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5D9A" w:rsidRPr="009035BF" w:rsidRDefault="00555D9A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5D9A" w:rsidRPr="009035BF" w:rsidRDefault="00555D9A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F029C" w:rsidRPr="009035BF" w:rsidTr="005D36FF">
        <w:trPr>
          <w:trHeight w:val="315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FF029C" w:rsidRPr="009035BF" w:rsidRDefault="00FF029C" w:rsidP="00F4135B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Projekty komplementarne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 czym polega komplementarność projektów?</w:t>
            </w:r>
          </w:p>
        </w:tc>
      </w:tr>
      <w:tr w:rsidR="00FF029C" w:rsidRPr="009035BF" w:rsidTr="005D36FF">
        <w:trPr>
          <w:trHeight w:val="31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3</w:t>
            </w:r>
          </w:p>
        </w:tc>
        <w:tc>
          <w:tcPr>
            <w:tcW w:w="260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F029C" w:rsidRPr="009035BF" w:rsidTr="00FF029C">
        <w:trPr>
          <w:trHeight w:val="429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Usprawnienie układu komunikacyjnego Miasta Koszalina poprzez połączenie z planowanym przebiegiem dróg ekspresowych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Usprawnienie układu komunikacyjnego miasta Koszalina – etap II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395AA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Usprawnienie drogi krajowej nr 6 na terenie miasta Koszalin</w:t>
            </w:r>
          </w:p>
        </w:tc>
        <w:tc>
          <w:tcPr>
            <w:tcW w:w="26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FF029C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Zrealizowane przedsięwzięcie były kluczowe dla poprawy komunikacji i płynności ruchu w Koszalinie, pozwalając na usprawnienie tranzytu drogowego dla przemysłu oraz ruchu turystycznego w kierunku Morza Bałtyckiego</w:t>
            </w:r>
          </w:p>
        </w:tc>
      </w:tr>
      <w:tr w:rsidR="00FF029C" w:rsidRPr="009035BF" w:rsidTr="00FF029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beneficjenta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Gmina-Miasto Koszalin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Gmina-Miasto Koszalin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395AA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M. Koszalin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F029C" w:rsidRPr="009035BF" w:rsidTr="00FF029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województwa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395AA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395AA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F029C" w:rsidRPr="009035BF" w:rsidTr="00FF029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funduszu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395AA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395AA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F029C" w:rsidRPr="009035BF" w:rsidTr="00FF029C">
        <w:trPr>
          <w:trHeight w:val="284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programu operacyjnego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RPO WZ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RPO WZ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395AA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 IŚ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F029C" w:rsidRPr="009035BF" w:rsidTr="00FF029C">
        <w:trPr>
          <w:trHeight w:val="426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Nr i nazwa działania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2.1.3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395AA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POIS.08.02.00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F029C" w:rsidRPr="009035BF" w:rsidTr="00FF029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Okres realizacji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26.05.2014 – 15.12.2015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10.12.2007 – 31.12.2014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395AA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12.05.2009 – 30.12.2014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F029C" w:rsidRPr="009035BF" w:rsidTr="00FF029C">
        <w:trPr>
          <w:trHeight w:val="352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2A4A2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Celem projektu było przygotowanie dokumentacji do realizacji inwestycji o strategicznym znaczeniu dla realizacji celów osi priorytetowej nr 2 oraz wpływającej na realizację założeń Strategii Rozwoju Województwa Zachodniopomorskiego do roku 2020.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cr/>
            </w:r>
          </w:p>
          <w:p w:rsidR="00FF029C" w:rsidRPr="009035BF" w:rsidRDefault="00FF029C" w:rsidP="002A4A2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Budowa odcinków dróg: ul. Szczecińskiej, Władysława IV w Koszalinie jest konieczna ze względu na usprawnienie układu komunikacyjnego Miasta z planowaną do realizacji przez Generalną Dyrekcję Dróg Krajowych i Autostrad obwodnicę Koszalina i Sianowa , która jest przygotowywana do realizacji w perspektywie Unii Europejskiej 2014-2020.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cr/>
            </w:r>
          </w:p>
          <w:p w:rsidR="00FF029C" w:rsidRPr="009035BF" w:rsidRDefault="00FF029C" w:rsidP="002A4A2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Planowana inwestycja na ul. Połczyńskiej jest komplementarna z realizowanym przez Zachodniopomorski Zarząd Dróg Wojewódzkich projektem systemowym pn. „Przebudowa dróg wojewódzkich nr 167 na odcinku Koszalin – droga 168” z poddziałania 2.1.1 Regionalna Infrastruktura drogowa Regionalnego Programu Operacyjnego Województwa Zachodniopomorskiego na lata 2007-2013.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9035BF" w:rsidRDefault="00FF029C" w:rsidP="006C5FDB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 wyniku realizacji projektu</w:t>
            </w:r>
            <w:r w:rsidRPr="003D1CC8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przystosowan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o istniejące</w:t>
            </w:r>
            <w:r w:rsidRPr="003D1CC8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dróg do współczesnych wymagań 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oraz poprawiono </w:t>
            </w:r>
            <w:r w:rsidRPr="003D1CC8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infrastruktur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ę</w:t>
            </w:r>
            <w:r w:rsidRPr="003D1CC8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drogow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ą</w:t>
            </w:r>
            <w:r w:rsidRPr="003D1CC8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co pozwoliło na usprawnienie</w:t>
            </w:r>
            <w:r w:rsidRPr="003D1CC8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tranzytu drogowego dla przemysłu oraz ruchu turystycznego w kierunku Morza Bałtyckiego. Dla mieszkańców Koszalina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oraz miejscowości ościennych, realizacja inwestycji pozwoliła na usprawnienie</w:t>
            </w:r>
            <w:r w:rsidRPr="003D1CC8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dojazdu do kluczowych o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biektów użyteczności publicznej. </w:t>
            </w:r>
            <w:r w:rsidRPr="003D1CC8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powiatowe urzędy bądź główne centra handlowe. </w:t>
            </w:r>
          </w:p>
          <w:p w:rsidR="00FF029C" w:rsidRPr="009035BF" w:rsidRDefault="00FF029C" w:rsidP="003D1CC8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29C" w:rsidRPr="006C5FDB" w:rsidRDefault="00FF029C" w:rsidP="006C5FDB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6C5FDB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 ramach projektu prowadzon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o</w:t>
            </w:r>
            <w:r w:rsidRPr="006C5FDB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proces wzmocnienia konstrukcji jezdni do kategorii ruchu KR-4 i KR-5, wymiany nawierzchni asfaltowej, zmiany geometrii skrzyżowań z sygnalizowanych na skrzyżowania z ruchem okrężnym, budowy chodników, dróg rowerowych, zatok autobusowych i zjazdów, uzupełnienie odwodnienia drogi, zagospodarowanie zielenią pasów drogowych oraz usunięcie kolizji teletechnicznych.</w:t>
            </w:r>
          </w:p>
          <w:p w:rsidR="00FF029C" w:rsidRPr="006C5FDB" w:rsidRDefault="00FF029C" w:rsidP="006C5FDB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  <w:p w:rsidR="00FF029C" w:rsidRPr="009035BF" w:rsidRDefault="00FF029C" w:rsidP="006C5FDB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6C5FDB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Inwestycja przyczyni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ła</w:t>
            </w:r>
            <w:r w:rsidRPr="006C5FDB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się do podniesienia komfortu jazdy po mieście, zwiększenia przepustowości oraz poprawy 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b</w:t>
            </w:r>
            <w:r w:rsidRPr="006C5FDB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ezpieczeństwa. Przedsięwzięcie jest kluczowe dla usprawnienia komunikacji i poprawy płynności ruchu w Koszalinie.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F029C" w:rsidRPr="009035BF" w:rsidTr="00FF029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Całkowita wartość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350 242,50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4 316 136,89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029C" w:rsidRPr="009035BF" w:rsidRDefault="00FF029C" w:rsidP="00395AA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6 680 888,60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F029C" w:rsidRPr="009035BF" w:rsidTr="00FF029C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wkładu UE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52 536,38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029C" w:rsidRPr="009035BF" w:rsidRDefault="00FF029C" w:rsidP="007C2EB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3 044 177,37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029C" w:rsidRPr="009035BF" w:rsidRDefault="00FF029C" w:rsidP="00395AA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5 090 258,85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29C" w:rsidRPr="009035BF" w:rsidRDefault="00FF029C" w:rsidP="00F4135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F029C" w:rsidRDefault="00FF029C">
      <w:pPr>
        <w:rPr>
          <w:rFonts w:ascii="Myriad Pro" w:hAnsi="Myriad Pro"/>
          <w:sz w:val="18"/>
          <w:szCs w:val="18"/>
        </w:rPr>
      </w:pPr>
    </w:p>
    <w:p w:rsidR="00FF029C" w:rsidRDefault="00FF029C">
      <w:pPr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br w:type="page"/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551"/>
        <w:gridCol w:w="2162"/>
        <w:gridCol w:w="2281"/>
        <w:gridCol w:w="2162"/>
        <w:gridCol w:w="2609"/>
      </w:tblGrid>
      <w:tr w:rsidR="00465FCE" w:rsidRPr="009035BF" w:rsidTr="0082083A">
        <w:trPr>
          <w:trHeight w:val="300"/>
        </w:trPr>
        <w:tc>
          <w:tcPr>
            <w:tcW w:w="6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FCE" w:rsidRPr="009035BF" w:rsidRDefault="00FF029C" w:rsidP="00FF029C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  <w:r w:rsidR="00465FCE"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nfrastruktur</w:t>
            </w:r>
            <w:r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="00465FCE"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społeczn</w:t>
            </w:r>
            <w:r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a </w:t>
            </w:r>
            <w:r w:rsidR="00465FCE"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i ochrony zdrowia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FCE" w:rsidRPr="009035BF" w:rsidRDefault="00465FCE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FCE" w:rsidRPr="009035BF" w:rsidRDefault="00465FCE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FCE" w:rsidRPr="009035BF" w:rsidRDefault="00465FCE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3941A3" w:rsidRPr="009035BF" w:rsidTr="003941A3">
        <w:trPr>
          <w:trHeight w:val="315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Projekty komplementarne</w:t>
            </w:r>
          </w:p>
        </w:tc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 czym polega komplementarność projektów?</w:t>
            </w:r>
          </w:p>
        </w:tc>
      </w:tr>
      <w:tr w:rsidR="003941A3" w:rsidRPr="009035BF" w:rsidTr="003941A3">
        <w:trPr>
          <w:trHeight w:val="31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4</w:t>
            </w:r>
          </w:p>
        </w:tc>
        <w:tc>
          <w:tcPr>
            <w:tcW w:w="2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3941A3" w:rsidRPr="009035BF" w:rsidTr="00746422">
        <w:trPr>
          <w:trHeight w:val="1847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Poprawa bezpieczeństwa mieszkańców powiatu szczecineckiego - karetki życia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Rozbudowa Szpitala w Szczecinku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Poprawa jakości i dostępności lokalnych placówek służby zdrowia na terenie Powiatu Szczecineckiego poprzez zakup sprzętu medycznego do Szpitala w Szczecinku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Podniesienie bezpieczeństwa mieszkańców Powiatu Szczecineckiego poprzez zakup specjalistycznego samochodu ratowniczego, mobilnego szpitala oraz przenośnych agregatów prądotwórczych</w:t>
            </w:r>
          </w:p>
        </w:tc>
        <w:tc>
          <w:tcPr>
            <w:tcW w:w="2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CF004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Projekty w znaczący sposób </w:t>
            </w:r>
            <w:r w:rsidR="00CF00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przyczyniły się do poprawy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F00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dostępności świadczeń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F00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ochrony zdrowia</w:t>
            </w:r>
            <w:r w:rsidR="00CF00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o wysokiej jakości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przede wszystkim na terenie Powiatu Szczecineckiego, </w:t>
            </w:r>
            <w:r w:rsidR="00CF00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ale odnoszące się do terenu województwa zachodniopomorskiego, oraz z uwagi na położenie powiatu – również terenów województw sąsiednich.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F00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Projekty wzajemnie się uzupełniają, gdyż w ramach ich realizacji nie tylko </w:t>
            </w:r>
            <w:r w:rsidR="00CF00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został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rozbudowany budynek szpitala w Szczecinku, ale </w:t>
            </w:r>
            <w:r w:rsidR="00CF00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również został zakupiony specjalistyczny sprzęt medyczny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oraz samochody ratownictwa medycznego, również wyposażone w niezbędny i nowoczesny sprzęt. Wszystkie razem wpłyną na poprawę bezpieczeństwa i zdrowia mieszkańców powiatu Szczecineckiego oraz powiatów sąsiadujących</w:t>
            </w:r>
            <w:r w:rsidR="00CF00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. Realizacja wyłącznie pojedynczego projektu nie pozwoliłaby na poprawę dostępności i jakości świadczeń ochrony zdrowia w takim zakresie, jak było to możliwe przy realizacji komplementarnych wobec siebie projektów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..</w:t>
            </w:r>
          </w:p>
        </w:tc>
      </w:tr>
      <w:tr w:rsidR="003941A3" w:rsidRPr="009035BF" w:rsidTr="003941A3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beneficjenta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Powiat Szczecinecki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Powiat Szczecinecki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Powiat Szczecinecki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Powiat Szczecinecki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941A3" w:rsidRPr="009035BF" w:rsidTr="003941A3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województwa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Województwo Zachodniopomorskie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Województwo Zachodniopomorskie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Województwo Zachodniopomorskie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Województwo Zachodniopomorskie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941A3" w:rsidRPr="009035BF" w:rsidTr="003941A3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funduszu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941A3" w:rsidRPr="009035BF" w:rsidTr="00746422">
        <w:trPr>
          <w:trHeight w:val="284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programu operacyjnego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465FCE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 IŚ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465FCE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RPO WZ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465FCE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RPO WZ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465FCE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RPO WZ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941A3" w:rsidRPr="009035BF" w:rsidTr="003941A3">
        <w:trPr>
          <w:trHeight w:val="5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Nr i nazwa działania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działanie 12.1 Rozwój systemu ratownictwa medycznego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poddziałanie 7.3.1 Regionalna infrastruktura ochrony zdrowia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poddziałanie 7.3.2 Lokalna infrastruktura ochrony zdrowia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poddziałanie 4.5.2 Zapobieganie zagrożeniom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941A3" w:rsidRPr="009035BF" w:rsidTr="003941A3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Okres realizacji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01.08.2009-31.12.2009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15.02.2012-13.12.2013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21.05.2010-28.07.2010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01.07.2014-31.03.2015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941A3" w:rsidRPr="009035BF" w:rsidTr="00746422">
        <w:trPr>
          <w:trHeight w:val="5622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465FCE" w:rsidP="0074642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 wyniku realizacji projektu wymieniono ambulanse</w:t>
            </w:r>
            <w:r w:rsidR="009467D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pozostające w dyspozycji zespołów ratunkowych SP ZOZ w Szczecinku.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941A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Zakupione w wyniku realizacji projektu</w:t>
            </w:r>
            <w:r w:rsidR="009467D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specjalistyczne </w:t>
            </w:r>
            <w:r w:rsidR="003941A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ambulanse</w:t>
            </w:r>
            <w:r w:rsidR="009467D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są wyposażone w lawetę pod nosze główne, centralną instalację próżniową z regulacją siły ssania oraz pakiet tlenowy, </w:t>
            </w:r>
            <w:r w:rsidR="003941A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nosze</w:t>
            </w:r>
            <w:r w:rsidR="009467D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941A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transporter noszy, podbieraki, unieruchomienie głowy do noszy, krzesło ze zjazdem, kołnierz ortopedyczny, defibrylator, zestaw akcesoriów do transmisji 12EK</w:t>
            </w:r>
            <w:r w:rsidR="009467D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G na faks lub modem do PC, pompę</w:t>
            </w:r>
            <w:r w:rsidR="003941A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infuzyjn</w:t>
            </w:r>
            <w:r w:rsidR="009467D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ą</w:t>
            </w:r>
            <w:r w:rsidR="003941A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, ssak, plecak ratowniczy, worek </w:t>
            </w:r>
            <w:proofErr w:type="spellStart"/>
            <w:r w:rsidR="003941A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samorozprężalny</w:t>
            </w:r>
            <w:proofErr w:type="spellEnd"/>
            <w:r w:rsidR="003941A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, itp. . Zakupiony w ramach projektu sprzęt ma na celu poprawę zabezpieczenia medycznego mieszkańców powiatu szczecineckiego oraz zapewnienie lepszych warunków pracy zespołom ratunkowym.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9467D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Celem głównym projektu „Rozbudowa Szpitala w Szczecinku” jest - Poprawa jakości i dostępności do świadczeń medycznych dla mieszkańców województwa zachodniopomorskiego poprzez budowę i wyposażenie nowych powierzchni oddziałów szpitalnych. Realizacja projektu </w:t>
            </w:r>
            <w:r w:rsidR="009467D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umożliwiła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w dużej mierze ograniczenie problemu głównego jakim jest niewystarczająca jakość, szybkość i dostępność świadczeń zdrowotnych placówki ochrony zdrowia Szpital w Szczecinku.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1A3" w:rsidRPr="009035BF" w:rsidRDefault="003941A3" w:rsidP="009467D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Przedsięwzięcie </w:t>
            </w:r>
            <w:r w:rsidR="009467D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polegało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na doposażeniu placówki medycznej w kompleksowy sprzęt (RTG + USG +Respirator przenośny)oraz dokonanie cyfryzacji pracowni RTG,USG i Tomografii Komputerowej. Realizacja projektu </w:t>
            </w:r>
            <w:r w:rsidR="009467D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wpłynęła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na poprawę diagnostyki a w konsekwencji znaczną poprawę jakości i szybkości usługi medycznej na rzecz mieszańców województwa zachodniopomorskiego przemieszczających się pomiędzy regionami (drogi dojazdowe do krainy jezior woj. </w:t>
            </w:r>
            <w:r w:rsidR="009467D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achodniopomorskiego, droga dojazdowa kierunek miejscowości nadmorskie, sporty ekstremalne (lotniarze, paintball, jazdy ekstremalne samochodów terenowych, narty wodne).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7D3" w:rsidRPr="009035BF" w:rsidRDefault="009467D3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  <w:p w:rsidR="009467D3" w:rsidRPr="009035BF" w:rsidRDefault="009467D3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 wyniku realizacji projektu zakupiono specjalistyczny sprzęt niezbędny do prowadzenia akcji ratowniczych i usuwania skutków zagrożeń</w:t>
            </w:r>
            <w:r w:rsidR="00CF00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i poważnych awarii</w:t>
            </w:r>
          </w:p>
          <w:p w:rsidR="003941A3" w:rsidRPr="009035BF" w:rsidRDefault="003941A3" w:rsidP="00CF004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Ponadto projekt </w:t>
            </w:r>
            <w:r w:rsidR="00CF0043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został z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realizowany na obszarze, w którym prowadzenie takich akcji jest utrudnione (warunki naturalne) a położenie Powiatu Szczecineckiego na pograniczu trzech województw powoduje że służby z tego terenu pełnią funkcję zabezpieczenia terenów ościennych.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941A3" w:rsidRPr="009035BF" w:rsidTr="003941A3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Całkowita wartość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181 939,90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956 983,59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300 261,57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139 559,79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941A3" w:rsidRPr="009035BF" w:rsidTr="003941A3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wkładu UE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154 648,92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358 868,85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165 143,86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104 669,84</w:t>
            </w:r>
          </w:p>
        </w:tc>
        <w:tc>
          <w:tcPr>
            <w:tcW w:w="2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941A3" w:rsidRPr="009035BF" w:rsidTr="003941A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1A3" w:rsidRPr="009035BF" w:rsidRDefault="003941A3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1A3" w:rsidRPr="009035BF" w:rsidRDefault="003941A3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F029C" w:rsidRDefault="00FF029C">
      <w:pPr>
        <w:rPr>
          <w:rFonts w:ascii="Myriad Pro" w:hAnsi="Myriad Pro"/>
          <w:sz w:val="18"/>
          <w:szCs w:val="18"/>
        </w:rPr>
      </w:pPr>
    </w:p>
    <w:p w:rsidR="00FF029C" w:rsidRDefault="00FF029C">
      <w:pPr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br w:type="page"/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551"/>
        <w:gridCol w:w="2162"/>
        <w:gridCol w:w="2281"/>
        <w:gridCol w:w="4771"/>
      </w:tblGrid>
      <w:tr w:rsidR="00746422" w:rsidRPr="009035BF" w:rsidTr="00746422">
        <w:trPr>
          <w:trHeight w:val="31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422" w:rsidRPr="009035BF" w:rsidRDefault="009035BF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Szczeciński Obszar Metropolitalny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422" w:rsidRPr="009035BF" w:rsidTr="00746422">
        <w:trPr>
          <w:trHeight w:val="315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Projekty komplementarne</w:t>
            </w:r>
          </w:p>
        </w:tc>
        <w:tc>
          <w:tcPr>
            <w:tcW w:w="4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 czym polega komplementarność projektów?</w:t>
            </w:r>
          </w:p>
        </w:tc>
      </w:tr>
      <w:tr w:rsidR="00746422" w:rsidRPr="009035BF" w:rsidTr="00746422">
        <w:trPr>
          <w:trHeight w:val="31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3</w:t>
            </w:r>
          </w:p>
        </w:tc>
        <w:tc>
          <w:tcPr>
            <w:tcW w:w="4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746422" w:rsidRPr="009035BF" w:rsidTr="00746422">
        <w:trPr>
          <w:trHeight w:val="7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Modernizacja i przebudowa infrastruktury Portu Jachtowego JK AZS w Szczecinie w ramach Zachodniopomorskiego Szlaku Żeglarskiego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CA79D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Zachodniopomorski </w:t>
            </w:r>
            <w:r w:rsidR="00CA79D7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S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zlak </w:t>
            </w:r>
            <w:r w:rsidR="00CA79D7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Ż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eglarski - sieć portów turystycznych Pomorza Zachodniego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Budowa Międzyszkolnego Ośrodka Sportowego </w:t>
            </w:r>
            <w:proofErr w:type="spellStart"/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Euroregionalne</w:t>
            </w:r>
            <w:proofErr w:type="spellEnd"/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Centrum Edukacji Wodnej i Żeglarskiej</w:t>
            </w:r>
          </w:p>
        </w:tc>
        <w:tc>
          <w:tcPr>
            <w:tcW w:w="47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D76FF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Realizacja projektów </w:t>
            </w:r>
            <w:r w:rsidR="00CA79D7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wpłynęła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w znaczący sposób na poprawę infrastruktury turystyczno-sportowej</w:t>
            </w:r>
            <w:r w:rsidR="00CA79D7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, podnosząc atrakcyjność turystyczną Szczecińskiego Obszaru Metropolitalnego oraz dywersyfikując ofertę turystyczną, wzbogacając ją o nowe produktu turystyczne</w:t>
            </w:r>
            <w:r w:rsidR="00D76FFE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CA79D7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znacząco podnosząc jakość już </w:t>
            </w:r>
            <w:r w:rsidR="00D76FFE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istniejących oraz rozbudowując zaplecze usług noclegowych i gastronomicznych..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Dodatkowo podkreślają one charakter krajobrazowy i położenie geograficzne województwa zachodniopomorskiego, co dodatkowo wpły</w:t>
            </w:r>
            <w:r w:rsidR="00D76FFE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wa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na kojarzenie województwa z miejscem</w:t>
            </w:r>
            <w:r w:rsidR="00CA79D7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wypoczynku i rekreacji.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46422" w:rsidRPr="009035BF" w:rsidTr="00746422">
        <w:trPr>
          <w:trHeight w:val="5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beneficjenta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Jacht Klub Akademickiego Związku Sportowego w Szczecinie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Zachodniopomorska Regionalna Organizacja Turystyczna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Gmina Miasto Szczecin</w:t>
            </w:r>
          </w:p>
        </w:tc>
        <w:tc>
          <w:tcPr>
            <w:tcW w:w="4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422" w:rsidRPr="009035BF" w:rsidTr="00746422">
        <w:trPr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województwa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Województwo Zachodniopomorskie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Województwo Zachodniopomorskie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Województwo Zachodniopomorskie</w:t>
            </w:r>
          </w:p>
        </w:tc>
        <w:tc>
          <w:tcPr>
            <w:tcW w:w="4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422" w:rsidRPr="009035BF" w:rsidTr="00746422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funduszu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4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422" w:rsidRPr="009035BF" w:rsidTr="00746422">
        <w:trPr>
          <w:trHeight w:val="5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programu operacyjnego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Regionalny Program Operacyjny Województwa Zachodniopomorskiego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Program Operacyjny Innowacyjna Gospodarka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Regionalny Program Operacyjny Województwa Zachodniopomorskiego</w:t>
            </w:r>
          </w:p>
        </w:tc>
        <w:tc>
          <w:tcPr>
            <w:tcW w:w="4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422" w:rsidRPr="009035BF" w:rsidTr="00746422">
        <w:trPr>
          <w:trHeight w:val="5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Nr i nazwa działania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poddziałanie 6.1.1 Infrastruktura turystyki na obszarze metropolitalnym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działanie 6.4 Inwestycje w produkty turystyczne o znaczeniu ponadregionalnym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poddziałanie 6.1.1 Infrastruktura turystyki na obszarze metropolitalnym</w:t>
            </w:r>
          </w:p>
        </w:tc>
        <w:tc>
          <w:tcPr>
            <w:tcW w:w="4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422" w:rsidRPr="009035BF" w:rsidTr="00746422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Okres realizacji projektu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2014-10-30 - 2015-06-30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2010-11-15 - 2015-06-30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746422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2010-01-08 - 2015-06-30</w:t>
            </w:r>
          </w:p>
        </w:tc>
        <w:tc>
          <w:tcPr>
            <w:tcW w:w="4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422" w:rsidRPr="009035BF" w:rsidTr="00FF029C">
        <w:trPr>
          <w:trHeight w:val="4384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DA9" w:rsidRPr="009035BF" w:rsidRDefault="00746422" w:rsidP="00797DA9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Realizacja projektu dotyczyła zapewnienia bezpieczeństwa i podniesienia jakości usług na przystani JK AZS oraz przebudowy i modernizacji infrastruktury przystani JK AZS</w:t>
            </w:r>
            <w:r w:rsidR="00797DA9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:rsidR="00746422" w:rsidRPr="009035BF" w:rsidRDefault="00797DA9" w:rsidP="00B0476B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Głównym celem, jaki został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osiągnięty dzięki realizacji projektu, jest podniesienie atrakcyjności i konkurencyjności Szczecińskiego Obszaru Metropolitalnego poprzez rozwój i podniesienie jakości infrastruktury turystyki wodnej. 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Przekłada się to na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intensyfikację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ruchu turystycznego, i tym samym 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zwiększ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a potencjał turystyczny</w:t>
            </w:r>
            <w:r w:rsidR="00B0476B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r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egionu.</w:t>
            </w:r>
            <w:r w:rsidR="00B0476B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8D4622">
            <w:pPr>
              <w:spacing w:after="24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Celem Projektu </w:t>
            </w:r>
            <w:r w:rsidR="00B0476B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było wzmocnienie potencjału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turystyki wodnej poprzez budowę i modernizację  portów i przystani</w:t>
            </w:r>
            <w:r w:rsidR="00B0476B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żeglarskich Pomorza Zachodniego. Przekłada się to na r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ozwój gospodarki turystycznej  Pomorza Zachodniego i aktywizacj</w:t>
            </w:r>
            <w:r w:rsidR="00B0476B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ę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gospodarcz</w:t>
            </w:r>
            <w:r w:rsidR="00B0476B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ą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poszczególnych miejscowości na trasie Zachodniopomorskiego Szlaku Żeglarskiego</w:t>
            </w:r>
            <w:r w:rsidR="00B0476B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8D46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W wyniku realizacji projektu powstała nowa oferta , co pozwoliło na zróżnicowanie istniejących produktów turystycznych.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CA79D7" w:rsidP="00CA79D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Skutkiem realizacji przedmiotowej inwestycji jest wzrost atrakcyjności turystycznej Szczecińskiego Obszaru Metropolitalnego. 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Powstała w ramach projektu infrastruktura </w:t>
            </w:r>
            <w:r w:rsidR="008D46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u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zupełni</w:t>
            </w:r>
            <w:r w:rsidR="008D46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a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ofertę </w:t>
            </w:r>
            <w:r w:rsidR="008D46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turystyczną regionu 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o baz</w:t>
            </w:r>
            <w:r w:rsidR="008D46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ę noclegową i gastronomiczną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oraz </w:t>
            </w:r>
            <w:r w:rsidR="008D46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pozwala na 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udostępni</w:t>
            </w:r>
            <w:r w:rsidR="008D46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enie obiektów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o charakterze konferencyjno-szkoleniowy</w:t>
            </w:r>
            <w:r w:rsidR="008D46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m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. Rozbudowywana marina żeglarska 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jest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uzupełnieniem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innych przystani zlokalizowanych na terenie SOM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, co zwiększa atrakcyjność turystyczną trasy żeglarskiej </w:t>
            </w:r>
            <w:r w:rsidR="00746422"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4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422" w:rsidRPr="009035BF" w:rsidTr="00746422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Całkowita wartość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108 322,12   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23 358 416,10 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8 937 552,08</w:t>
            </w:r>
          </w:p>
        </w:tc>
        <w:tc>
          <w:tcPr>
            <w:tcW w:w="4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422" w:rsidRPr="009035BF" w:rsidTr="00746422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wkładu UE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60 375,05   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7 174 505,96 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2 796 313,74</w:t>
            </w:r>
          </w:p>
        </w:tc>
        <w:tc>
          <w:tcPr>
            <w:tcW w:w="4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F029C" w:rsidRDefault="00FF029C"/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551"/>
        <w:gridCol w:w="2162"/>
        <w:gridCol w:w="2281"/>
        <w:gridCol w:w="4771"/>
      </w:tblGrid>
      <w:tr w:rsidR="00746422" w:rsidRPr="009035BF" w:rsidTr="00746422">
        <w:trPr>
          <w:trHeight w:val="31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422" w:rsidRPr="009035BF" w:rsidRDefault="009035BF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Transport miejski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422" w:rsidRPr="009035BF" w:rsidTr="00746422">
        <w:trPr>
          <w:trHeight w:val="315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Projekty komplementarne</w:t>
            </w:r>
          </w:p>
        </w:tc>
      </w:tr>
      <w:tr w:rsidR="00746422" w:rsidRPr="009035BF" w:rsidTr="00746422">
        <w:trPr>
          <w:trHeight w:val="31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Projekt 4</w:t>
            </w:r>
          </w:p>
        </w:tc>
      </w:tr>
      <w:tr w:rsidR="00746422" w:rsidRPr="009035BF" w:rsidTr="00746422">
        <w:trPr>
          <w:trHeight w:val="5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Zakup taboru autobusowego na potrzeby SPA "Dąbie" Sp. z o.o. w Szczecinie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Budowa "Szczecińskiego Szybkiego Tramwaju""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Budowa i przebudowa torowisk w Szczecinie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Zakup niskopodłogowego taboru tramwajowego w Szczecinie</w:t>
            </w:r>
          </w:p>
        </w:tc>
      </w:tr>
      <w:tr w:rsidR="00746422" w:rsidRPr="009035BF" w:rsidTr="00746422">
        <w:trPr>
          <w:trHeight w:val="5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beneficjenta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Szczecińskie Przedsiębiorstwo Autobusowe "Dąbie" Spółka z ograniczoną odpowiedzialnością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Gmina Miasto Szczecin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Gmina Miasto Szczecin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Tramwaje Szczecińskie Sp. z o.o.</w:t>
            </w:r>
          </w:p>
        </w:tc>
      </w:tr>
      <w:tr w:rsidR="00746422" w:rsidRPr="009035BF" w:rsidTr="00746422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województwa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Województwo Zachodniopomorskie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Województwo Zachodniopomorskie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Województwo Zachodniopomorskie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Województwo Zachodniopomorskie</w:t>
            </w:r>
          </w:p>
        </w:tc>
      </w:tr>
      <w:tr w:rsidR="00746422" w:rsidRPr="009035BF" w:rsidTr="00746422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funduszu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Europejski Fundusz Rozwoju Regionalnego</w:t>
            </w:r>
          </w:p>
        </w:tc>
      </w:tr>
      <w:tr w:rsidR="00746422" w:rsidRPr="009035BF" w:rsidTr="00746422">
        <w:trPr>
          <w:trHeight w:val="5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programu operacyjnego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Regionalny Program Operacyjny Województwa Zachodniopomorskiego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Program Operacyjny Infrastruktura i Środowisko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Program Operacyjny Infrastruktura i Środowisko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Program Operacyjny Infrastruktura i Środowisko</w:t>
            </w:r>
          </w:p>
        </w:tc>
      </w:tr>
      <w:tr w:rsidR="00746422" w:rsidRPr="009035BF" w:rsidTr="00746422">
        <w:trPr>
          <w:trHeight w:val="5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Nr i nazwa działania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działanie 6.4 Zintegrowany system transportu publicznego na obszarze </w:t>
            </w:r>
            <w:proofErr w:type="spellStart"/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metropolilatnym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działanie 7.3 Transport miejski w obszarach metropolitalnych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działanie 7.3 Transport miejski w obszarach metropolitalnych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działanie 7.3 Transport miejski w obszarach metropolitalnych</w:t>
            </w:r>
          </w:p>
        </w:tc>
      </w:tr>
      <w:tr w:rsidR="00746422" w:rsidRPr="009035BF" w:rsidTr="00746422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Okres realizacji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10.07.2008-21.12.2010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26.02.2013-31.07.2015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23.12.2009-31.12.2015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22.07.2010-13.05.2014</w:t>
            </w:r>
          </w:p>
        </w:tc>
      </w:tr>
      <w:tr w:rsidR="00746422" w:rsidRPr="009035BF" w:rsidTr="007A0D85">
        <w:trPr>
          <w:trHeight w:val="2399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D85" w:rsidRPr="007A0D85" w:rsidRDefault="00746422" w:rsidP="007A0D85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W wyniku realizacji projektu zakupione </w:t>
            </w:r>
            <w:r w:rsidR="00FF029C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zostały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klimatyzowane autobusy niskopodłogowe, przystosowane m.in. dla osób niepełnosprawnych ruchowo.  </w:t>
            </w:r>
            <w:r w:rsidR="00FF029C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Wpłynęło to na poprawę jakości świadczonych usług transportowych, zwiększenie płynności i tempa ruchu drogowego, poprawę bezpieczeństwa dla wszystkich uczestników ruchu drogowego. Ponadto w wyniku </w:t>
            </w:r>
            <w:r w:rsidR="007A0D85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zrealizowanego projektu </w:t>
            </w:r>
            <w:r w:rsidR="007A0D85" w:rsidRPr="007A0D85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ogranicz</w:t>
            </w:r>
            <w:r w:rsidR="007A0D85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ono</w:t>
            </w:r>
            <w:r w:rsidR="007A0D85" w:rsidRPr="007A0D85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zanieczyszczenia atmosfery poprzez zmniejszenie emisji toksycznych składników spalin,</w:t>
            </w:r>
            <w:r w:rsidR="007A0D85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zmniejszono natężenie</w:t>
            </w:r>
            <w:r w:rsidR="007A0D85" w:rsidRPr="007A0D85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hałasu,</w:t>
            </w:r>
            <w:r w:rsidR="007A0D85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oraz </w:t>
            </w:r>
          </w:p>
          <w:p w:rsidR="00746422" w:rsidRPr="009035BF" w:rsidRDefault="007A0D85" w:rsidP="007A0D85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-</w:t>
            </w:r>
            <w:r w:rsidRPr="007A0D85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zmniejsz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o</w:t>
            </w:r>
            <w:r w:rsidRPr="007A0D85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n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o</w:t>
            </w:r>
            <w:r w:rsidRPr="007A0D85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koszt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y</w:t>
            </w:r>
            <w:r w:rsidRPr="007A0D85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eksploatacyjn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7A0D85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utrzymania taboru.</w:t>
            </w:r>
            <w:r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Korzyści płynące z inwestycji: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· połączenie tramwajowe centrum Szczecina z dzielnicami leżącymi na prawobrzeżu,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· poprawa oferty transportu miejskiego w mieście poprzez zwiększenie komfortu podróży, skrócenie czasu podróży, zwiększenie bezpieczeństwa podróżnych,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· poprawa warunków korzystania z transportu zbiorowego przez osoby niepełnosprawne,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· zmniejszenie kosztów bieżącego utrzymania infrastruktury w związku z poprawą jej stanu technicznego,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· zwiększenie przepustowości na omawianej trasie poprzez odciążenie natężenia ruchu kołowego - SST stanie się alternatywą transportową dla codziennie dojeżdżających z prawobrzeża na lewobrzeże i odwrotnie, dlatego zakłada się, że część podróżujących zaniecha codziennego podróżowania samochodem,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· zmniejszenie awaryjności infrastruktury transportowej,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· poprawa oddziaływania na środowisko poprzez zmniejszenie hałasu i emisji spalin,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 xml:space="preserve"> · poprawa bezpieczeństwa ruchu drogowego,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· zwiększenie atrakcyjności turystycznej miasta Szczecin (poprzez stworzenie dostępnej dla wszystkich oferty łatwego i szybkiego pokonywania dużych odległości).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Projekt zakłada przebudowę najbardziej zniszczonych odcinków szczecińskich torowisk wraz z modernizacją i rozbudową sieci trakcyjnych, modernizacją i rozbudową stacji prostownikowych sygnalizacji świetlnej oraz dostosowanie ich do potrzeb kursowania nowoczesnego taboru. Szczególny nacisk, przy określeniu zakresu rzeczowego zadania, został położony na aspekt kompleksowej modernizacji torowisk wraz z niezbędną infrastrukturą towarzyszącą, kluczowy z punktu widzenia utrzymania standardu jakościowego oraz ilościowego przewozów komunikacji miejskiej.  Celem nadrzędnym projektu jest rozwój komunikacji tramwajowej stanowiącej alternatywę dla transportu drogowego oraz zwiększenie udziału transportu publicznego w obsłudze mieszkańców Szczecina poprzez wsparcie przyjaznych środowisku systemów transportu publicznego. Celem głównym projektu jest realizacja zasad zrównoważonego rozwoju systemu transportowego w mieście Szczecinie poprzez zwiększenie roli transportu publicznego, w szczególności komunikacji tramwajowej.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422" w:rsidRPr="009035BF" w:rsidRDefault="00746422" w:rsidP="003941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Realizacja inwestycji pn. „Zakup niskopodłogowego taboru tramwajowego w Szczecinie" służyć będzie zwiększeniu udziału przewozu osób transportem publicznym, co stanie się katalizatorem rozwoju zrównoważonego systemu transportowego, zmniejszenia negatywnego oddziaływania transportu na środowisko oraz redukcji zatłoczenia motoryzacyjnego. W opinii beneficjenta Tramwaje rzeczywiście powinny spełnić oczekiwania nawet najbardziej wymagających pasażerów, ponieważ będą całkowicie niskopodłogowe i w pełni klimatyzowane (cześć pasażerska i kabina kierowcy).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W wyniku realizacji inwestycji nastąpi: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- skrócenie czasu przejazdu tramwajów,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 xml:space="preserve"> - zwiększenie niezawodności trasy,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- zwiększenie sprawności funkcjonowania tramwaju (punktualność, pewność osiągnięcia celu podróży w założonym czasie),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- zwiększenie komfortu jazdy (nowoczesny tabor),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- zwiększenie komfortu wymiany pasażerów (podłoga tramwaju i platforma przystankowa na tym samym poziomie),</w:t>
            </w: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br/>
              <w:t>- usprawnienie systemu informowania pasażerów.</w:t>
            </w:r>
          </w:p>
        </w:tc>
      </w:tr>
      <w:tr w:rsidR="00746422" w:rsidRPr="009035BF" w:rsidTr="007A0D85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Całkowita wartość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7A0D85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6 013 973,82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7A0D85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45 107 946,27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7A0D85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65 420 167,42</w:t>
            </w:r>
          </w:p>
        </w:tc>
        <w:tc>
          <w:tcPr>
            <w:tcW w:w="4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7A0D85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57 673 334,18</w:t>
            </w:r>
          </w:p>
        </w:tc>
      </w:tr>
      <w:tr w:rsidR="00746422" w:rsidRPr="009035BF" w:rsidTr="007A0D85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746422" w:rsidRPr="009035BF" w:rsidRDefault="00746422" w:rsidP="003941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wkładu UE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7A0D85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4 392 361,95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7A0D85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20 604 271,66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7A0D85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31 381 884,30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422" w:rsidRPr="009035BF" w:rsidRDefault="00746422" w:rsidP="007A0D85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</w:pPr>
            <w:r w:rsidRPr="009035BF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pl-PL"/>
              </w:rPr>
              <w:t>30 139 508,77</w:t>
            </w:r>
          </w:p>
        </w:tc>
      </w:tr>
    </w:tbl>
    <w:p w:rsidR="003534C6" w:rsidRPr="009035BF" w:rsidRDefault="00A552B4">
      <w:pPr>
        <w:rPr>
          <w:rFonts w:ascii="Myriad Pro" w:hAnsi="Myriad Pro"/>
          <w:sz w:val="18"/>
          <w:szCs w:val="18"/>
        </w:rPr>
      </w:pPr>
    </w:p>
    <w:sectPr w:rsidR="003534C6" w:rsidRPr="009035BF" w:rsidSect="003941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Source Sans Pro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82889"/>
    <w:multiLevelType w:val="hybridMultilevel"/>
    <w:tmpl w:val="A09E6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A3"/>
    <w:rsid w:val="002A4A20"/>
    <w:rsid w:val="002B6DED"/>
    <w:rsid w:val="003941A3"/>
    <w:rsid w:val="003A138D"/>
    <w:rsid w:val="003C31C3"/>
    <w:rsid w:val="003D1CC8"/>
    <w:rsid w:val="00414243"/>
    <w:rsid w:val="00465FCE"/>
    <w:rsid w:val="00533855"/>
    <w:rsid w:val="00555D9A"/>
    <w:rsid w:val="006C5FDB"/>
    <w:rsid w:val="00746422"/>
    <w:rsid w:val="007611D6"/>
    <w:rsid w:val="00797DA9"/>
    <w:rsid w:val="007A0D85"/>
    <w:rsid w:val="007C2EBF"/>
    <w:rsid w:val="008D4622"/>
    <w:rsid w:val="009035BF"/>
    <w:rsid w:val="009467D3"/>
    <w:rsid w:val="00A11B00"/>
    <w:rsid w:val="00A552B4"/>
    <w:rsid w:val="00A769EE"/>
    <w:rsid w:val="00B0476B"/>
    <w:rsid w:val="00B207B8"/>
    <w:rsid w:val="00B30586"/>
    <w:rsid w:val="00BC3DDF"/>
    <w:rsid w:val="00CA79D7"/>
    <w:rsid w:val="00CF0043"/>
    <w:rsid w:val="00D76FFE"/>
    <w:rsid w:val="00DE4D0A"/>
    <w:rsid w:val="00F30826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55D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3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55D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B9E38-7A4C-4C89-A9A5-AB62E563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2970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Sołoniuk</dc:creator>
  <cp:lastModifiedBy>Elżbieta Sołoniuk</cp:lastModifiedBy>
  <cp:revision>4</cp:revision>
  <dcterms:created xsi:type="dcterms:W3CDTF">2017-02-13T09:32:00Z</dcterms:created>
  <dcterms:modified xsi:type="dcterms:W3CDTF">2017-03-27T12:59:00Z</dcterms:modified>
</cp:coreProperties>
</file>