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90" w:rsidRPr="00EA0E8C" w:rsidRDefault="00E73A90" w:rsidP="00CD0D07">
      <w:pPr>
        <w:jc w:val="right"/>
        <w:rPr>
          <w:rFonts w:ascii="Myriad Pro" w:hAnsi="Myriad Pro"/>
          <w:i/>
          <w:iCs/>
          <w:sz w:val="16"/>
          <w:szCs w:val="16"/>
        </w:rPr>
      </w:pPr>
    </w:p>
    <w:p w:rsidR="0009186C" w:rsidRPr="008F37AF" w:rsidRDefault="00720FBA" w:rsidP="00E73A90">
      <w:pPr>
        <w:jc w:val="right"/>
        <w:rPr>
          <w:rFonts w:ascii="Myriad Pro" w:hAnsi="Myriad Pro"/>
          <w:i/>
          <w:iCs/>
          <w:sz w:val="16"/>
          <w:szCs w:val="16"/>
        </w:rPr>
      </w:pPr>
      <w:r w:rsidRPr="008F37AF">
        <w:rPr>
          <w:rFonts w:ascii="Myriad Pro" w:hAnsi="Myriad Pro"/>
          <w:i/>
          <w:iCs/>
          <w:sz w:val="16"/>
          <w:szCs w:val="16"/>
        </w:rPr>
        <w:t xml:space="preserve">Załącznik nr </w:t>
      </w:r>
      <w:r w:rsidR="00336666">
        <w:rPr>
          <w:rFonts w:ascii="Myriad Pro" w:hAnsi="Myriad Pro"/>
          <w:i/>
          <w:iCs/>
          <w:sz w:val="16"/>
          <w:szCs w:val="16"/>
        </w:rPr>
        <w:t xml:space="preserve">3 </w:t>
      </w:r>
      <w:r w:rsidR="0028572C" w:rsidRPr="008F37AF">
        <w:rPr>
          <w:rFonts w:ascii="Myriad Pro" w:hAnsi="Myriad Pro"/>
          <w:i/>
          <w:iCs/>
          <w:sz w:val="16"/>
          <w:szCs w:val="16"/>
        </w:rPr>
        <w:t xml:space="preserve">do </w:t>
      </w:r>
      <w:r w:rsidR="00473754">
        <w:rPr>
          <w:rFonts w:ascii="Myriad Pro" w:hAnsi="Myriad Pro"/>
          <w:i/>
          <w:iCs/>
          <w:sz w:val="16"/>
          <w:szCs w:val="16"/>
        </w:rPr>
        <w:t xml:space="preserve">ogłoszenia </w:t>
      </w:r>
    </w:p>
    <w:p w:rsidR="005F6D6A" w:rsidRPr="008F37AF" w:rsidRDefault="005F6D6A" w:rsidP="00B70C25">
      <w:pPr>
        <w:jc w:val="right"/>
        <w:rPr>
          <w:rFonts w:ascii="Myriad Pro" w:hAnsi="Myriad Pro"/>
          <w:sz w:val="18"/>
          <w:szCs w:val="18"/>
        </w:rPr>
      </w:pPr>
    </w:p>
    <w:p w:rsidR="005F6D6A" w:rsidRPr="008F37AF" w:rsidRDefault="005F6D6A" w:rsidP="00B70C25">
      <w:pPr>
        <w:jc w:val="right"/>
        <w:rPr>
          <w:rFonts w:ascii="Myriad Pro" w:hAnsi="Myriad Pro"/>
          <w:sz w:val="18"/>
          <w:szCs w:val="18"/>
        </w:rPr>
      </w:pPr>
    </w:p>
    <w:p w:rsidR="00075995" w:rsidRPr="008472EF" w:rsidRDefault="00705793" w:rsidP="00075995">
      <w:pPr>
        <w:jc w:val="center"/>
        <w:rPr>
          <w:rFonts w:ascii="Myriad Pro" w:hAnsi="Myriad Pro" w:cs="Arial"/>
        </w:rPr>
      </w:pPr>
      <w:r w:rsidRPr="008472EF">
        <w:rPr>
          <w:rFonts w:ascii="Myriad Pro" w:hAnsi="Myriad Pro" w:cs="Arial"/>
        </w:rPr>
        <w:t xml:space="preserve">Kryteria oceny ofert </w:t>
      </w:r>
    </w:p>
    <w:p w:rsidR="005F6D6A" w:rsidRPr="008F37AF" w:rsidRDefault="005F6D6A" w:rsidP="00075995">
      <w:pPr>
        <w:jc w:val="center"/>
        <w:rPr>
          <w:rFonts w:ascii="Myriad Pro" w:hAnsi="Myriad Pro" w:cs="Arial"/>
          <w:b/>
        </w:rPr>
      </w:pPr>
    </w:p>
    <w:p w:rsidR="00075995" w:rsidRPr="008F37AF" w:rsidRDefault="00075995" w:rsidP="00075995">
      <w:pPr>
        <w:jc w:val="center"/>
        <w:rPr>
          <w:rFonts w:ascii="Myriad Pro" w:hAnsi="Myriad Pro" w:cs="Arial"/>
          <w:b/>
          <w:sz w:val="22"/>
          <w:szCs w:val="22"/>
        </w:rPr>
      </w:pPr>
    </w:p>
    <w:p w:rsidR="005F6D6A" w:rsidRPr="008F37AF" w:rsidRDefault="005F6D6A" w:rsidP="00D725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color w:val="000000"/>
          <w:sz w:val="22"/>
          <w:szCs w:val="22"/>
        </w:rPr>
      </w:pPr>
      <w:r w:rsidRPr="008F37AF">
        <w:rPr>
          <w:rFonts w:ascii="Myriad Pro" w:hAnsi="Myriad Pro" w:cs="Arial"/>
          <w:b/>
          <w:color w:val="000000"/>
          <w:sz w:val="22"/>
          <w:szCs w:val="22"/>
        </w:rPr>
        <w:t>Kryteria oceny ofert:</w:t>
      </w:r>
    </w:p>
    <w:p w:rsidR="005F6D6A" w:rsidRPr="008F37AF" w:rsidRDefault="005F6D6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tbl>
      <w:tblPr>
        <w:tblW w:w="9850" w:type="dxa"/>
        <w:tblLook w:val="01E0"/>
      </w:tblPr>
      <w:tblGrid>
        <w:gridCol w:w="5701"/>
        <w:gridCol w:w="4149"/>
      </w:tblGrid>
      <w:tr w:rsidR="005F6D6A" w:rsidRPr="008F37AF" w:rsidTr="005F6D6A">
        <w:trPr>
          <w:trHeight w:val="533"/>
        </w:trPr>
        <w:tc>
          <w:tcPr>
            <w:tcW w:w="5701" w:type="dxa"/>
            <w:vAlign w:val="center"/>
          </w:tcPr>
          <w:p w:rsidR="005F6D6A" w:rsidRPr="008F37AF" w:rsidRDefault="005F6D6A" w:rsidP="005F6D6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4149" w:type="dxa"/>
            <w:vAlign w:val="center"/>
          </w:tcPr>
          <w:p w:rsidR="005F6D6A" w:rsidRPr="008F37AF" w:rsidRDefault="005F6D6A" w:rsidP="005F6D6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Waga (%)</w:t>
            </w:r>
          </w:p>
        </w:tc>
      </w:tr>
      <w:tr w:rsidR="005F6D6A" w:rsidRPr="008F37AF" w:rsidTr="005F6D6A">
        <w:trPr>
          <w:trHeight w:val="552"/>
        </w:trPr>
        <w:tc>
          <w:tcPr>
            <w:tcW w:w="5701" w:type="dxa"/>
            <w:vAlign w:val="center"/>
          </w:tcPr>
          <w:p w:rsidR="005F6D6A" w:rsidRPr="008F37AF" w:rsidRDefault="005F6D6A" w:rsidP="005F6D6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Cena ofertowa</w:t>
            </w:r>
          </w:p>
        </w:tc>
        <w:tc>
          <w:tcPr>
            <w:tcW w:w="4149" w:type="dxa"/>
            <w:vAlign w:val="center"/>
          </w:tcPr>
          <w:p w:rsidR="005F6D6A" w:rsidRPr="008F37AF" w:rsidRDefault="00FE2A7B" w:rsidP="005F6D6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2</w:t>
            </w:r>
            <w:r w:rsidR="005F6D6A"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0</w:t>
            </w:r>
            <w:r w:rsidR="000F4203"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%</w:t>
            </w:r>
          </w:p>
        </w:tc>
      </w:tr>
      <w:tr w:rsidR="005F6D6A" w:rsidRPr="008F37AF" w:rsidTr="005F6D6A">
        <w:trPr>
          <w:trHeight w:val="552"/>
        </w:trPr>
        <w:tc>
          <w:tcPr>
            <w:tcW w:w="5701" w:type="dxa"/>
            <w:vAlign w:val="center"/>
          </w:tcPr>
          <w:p w:rsidR="005F6D6A" w:rsidRPr="008F37AF" w:rsidRDefault="00A76179" w:rsidP="005F6D6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Doświadczenie wykonawcy</w:t>
            </w:r>
          </w:p>
        </w:tc>
        <w:tc>
          <w:tcPr>
            <w:tcW w:w="4149" w:type="dxa"/>
            <w:vAlign w:val="center"/>
          </w:tcPr>
          <w:p w:rsidR="005F6D6A" w:rsidRPr="008F37AF" w:rsidRDefault="009631EA" w:rsidP="00955A5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3</w:t>
            </w:r>
            <w:r w:rsidR="00955A5F">
              <w:rPr>
                <w:rFonts w:ascii="Myriad Pro" w:hAnsi="Myriad Pro" w:cs="Arial"/>
                <w:color w:val="000000"/>
                <w:sz w:val="20"/>
                <w:szCs w:val="20"/>
              </w:rPr>
              <w:t>5</w:t>
            </w:r>
            <w:r w:rsidR="000F4203"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%</w:t>
            </w:r>
          </w:p>
        </w:tc>
      </w:tr>
      <w:tr w:rsidR="009631EA" w:rsidRPr="008F37AF" w:rsidTr="005F6D6A">
        <w:trPr>
          <w:trHeight w:val="552"/>
        </w:trPr>
        <w:tc>
          <w:tcPr>
            <w:tcW w:w="5701" w:type="dxa"/>
            <w:vAlign w:val="center"/>
          </w:tcPr>
          <w:p w:rsidR="009631EA" w:rsidRDefault="00A76179" w:rsidP="00A7617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Doświadczenie ekspertów (potencjał kadrowy)</w:t>
            </w:r>
          </w:p>
        </w:tc>
        <w:tc>
          <w:tcPr>
            <w:tcW w:w="4149" w:type="dxa"/>
            <w:vAlign w:val="center"/>
          </w:tcPr>
          <w:p w:rsidR="009631EA" w:rsidRDefault="00FE2A7B" w:rsidP="00955A5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3</w:t>
            </w:r>
            <w:r w:rsidR="00955A5F">
              <w:rPr>
                <w:rFonts w:ascii="Myriad Pro" w:hAnsi="Myriad Pro" w:cs="Arial"/>
                <w:color w:val="000000"/>
                <w:sz w:val="20"/>
                <w:szCs w:val="20"/>
              </w:rPr>
              <w:t>5</w:t>
            </w:r>
            <w:r w:rsidR="009631EA">
              <w:rPr>
                <w:rFonts w:ascii="Myriad Pro" w:hAnsi="Myriad Pro" w:cs="Arial"/>
                <w:color w:val="000000"/>
                <w:sz w:val="20"/>
                <w:szCs w:val="20"/>
              </w:rPr>
              <w:t>%</w:t>
            </w:r>
          </w:p>
        </w:tc>
      </w:tr>
      <w:tr w:rsidR="009C2630" w:rsidRPr="008F37AF" w:rsidTr="005F6D6A">
        <w:trPr>
          <w:trHeight w:val="552"/>
        </w:trPr>
        <w:tc>
          <w:tcPr>
            <w:tcW w:w="5701" w:type="dxa"/>
            <w:vAlign w:val="center"/>
          </w:tcPr>
          <w:p w:rsidR="009C2630" w:rsidRDefault="00420ED2" w:rsidP="00BF55E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Identyfikacja ryzyka</w:t>
            </w:r>
            <w:r w:rsidR="009C2630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49" w:type="dxa"/>
            <w:vAlign w:val="center"/>
          </w:tcPr>
          <w:p w:rsidR="009C2630" w:rsidRDefault="00955A5F" w:rsidP="005F6D6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10</w:t>
            </w:r>
            <w:r w:rsidR="009C2630">
              <w:rPr>
                <w:rFonts w:ascii="Myriad Pro" w:hAnsi="Myriad Pro" w:cs="Arial"/>
                <w:color w:val="000000"/>
                <w:sz w:val="20"/>
                <w:szCs w:val="20"/>
              </w:rPr>
              <w:t>%</w:t>
            </w:r>
          </w:p>
        </w:tc>
      </w:tr>
    </w:tbl>
    <w:p w:rsidR="005F6D6A" w:rsidRPr="008F37AF" w:rsidRDefault="005F6D6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5F6D6A" w:rsidRPr="008F37AF" w:rsidRDefault="005F6D6A" w:rsidP="00D725A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Sposób oceny ofert </w:t>
      </w:r>
    </w:p>
    <w:p w:rsidR="005F6D6A" w:rsidRPr="008F37AF" w:rsidRDefault="005F6D6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>Zamawiający dokona oceny ofert na podstawie wyniku osiągniętej liczby punktów przyznanych przez każdego dokonującego oceny członka komisji przetargowej w oparciu o następujące kryteria i ustaloną punktację do 100 (100 % = 100 pkt):</w:t>
      </w:r>
    </w:p>
    <w:p w:rsidR="005F6D6A" w:rsidRPr="008F37AF" w:rsidRDefault="005F6D6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9631EA" w:rsidRPr="009631EA" w:rsidRDefault="009631EA" w:rsidP="009631E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9631EA">
        <w:rPr>
          <w:rFonts w:ascii="Myriad Pro" w:hAnsi="Myriad Pro" w:cs="Arial"/>
          <w:color w:val="000000"/>
          <w:sz w:val="20"/>
          <w:szCs w:val="20"/>
        </w:rPr>
        <w:t xml:space="preserve">Punkty za kryterium </w:t>
      </w:r>
      <w:r w:rsidRPr="009631EA">
        <w:rPr>
          <w:rFonts w:ascii="Myriad Pro" w:hAnsi="Myriad Pro" w:cs="Arial"/>
          <w:b/>
          <w:color w:val="000000"/>
          <w:sz w:val="20"/>
          <w:szCs w:val="20"/>
        </w:rPr>
        <w:t>„cena”</w:t>
      </w:r>
      <w:r w:rsidRPr="009631EA">
        <w:rPr>
          <w:rFonts w:ascii="Myriad Pro" w:hAnsi="Myriad Pro" w:cs="Arial"/>
          <w:color w:val="000000"/>
          <w:sz w:val="20"/>
          <w:szCs w:val="20"/>
        </w:rPr>
        <w:t xml:space="preserve"> zostaną obliczone wg następującego wzoru:</w:t>
      </w:r>
    </w:p>
    <w:p w:rsidR="009631EA" w:rsidRPr="009631EA" w:rsidRDefault="009631EA" w:rsidP="009631E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9631EA" w:rsidRPr="009631EA" w:rsidRDefault="009631EA" w:rsidP="009631EA">
      <w:pPr>
        <w:autoSpaceDE w:val="0"/>
        <w:autoSpaceDN w:val="0"/>
        <w:adjustRightInd w:val="0"/>
        <w:ind w:firstLine="284"/>
        <w:jc w:val="both"/>
        <w:rPr>
          <w:rFonts w:ascii="Myriad Pro" w:hAnsi="Myriad Pro" w:cs="Arial"/>
          <w:b/>
          <w:color w:val="000000"/>
          <w:sz w:val="20"/>
          <w:szCs w:val="20"/>
        </w:rPr>
      </w:pPr>
      <w:r w:rsidRPr="009631EA">
        <w:rPr>
          <w:rFonts w:ascii="Myriad Pro" w:hAnsi="Myriad Pro" w:cs="Arial"/>
          <w:b/>
          <w:color w:val="000000"/>
          <w:sz w:val="20"/>
          <w:szCs w:val="20"/>
        </w:rPr>
        <w:t xml:space="preserve">           C</w:t>
      </w:r>
      <w:r w:rsidRPr="009631EA">
        <w:rPr>
          <w:rFonts w:ascii="Myriad Pro" w:hAnsi="Myriad Pro" w:cs="Arial"/>
          <w:b/>
          <w:color w:val="000000"/>
          <w:sz w:val="20"/>
          <w:szCs w:val="20"/>
          <w:vertAlign w:val="subscript"/>
        </w:rPr>
        <w:t>max</w:t>
      </w:r>
      <w:r w:rsidRPr="009631EA" w:rsidDel="00941A31">
        <w:rPr>
          <w:rFonts w:ascii="Myriad Pro" w:hAnsi="Myriad Pro" w:cs="Arial"/>
          <w:b/>
          <w:color w:val="000000"/>
          <w:sz w:val="20"/>
          <w:szCs w:val="20"/>
        </w:rPr>
        <w:t xml:space="preserve"> </w:t>
      </w:r>
      <w:r w:rsidRPr="009631EA">
        <w:rPr>
          <w:rFonts w:ascii="Myriad Pro" w:hAnsi="Myriad Pro" w:cs="Arial"/>
          <w:b/>
          <w:color w:val="000000"/>
          <w:sz w:val="20"/>
          <w:szCs w:val="20"/>
        </w:rPr>
        <w:t xml:space="preserve"> –  C</w:t>
      </w:r>
      <w:r w:rsidRPr="009631EA">
        <w:rPr>
          <w:rFonts w:ascii="Myriad Pro" w:hAnsi="Myriad Pro" w:cs="Arial"/>
          <w:b/>
          <w:color w:val="000000"/>
          <w:sz w:val="20"/>
          <w:szCs w:val="20"/>
          <w:vertAlign w:val="subscript"/>
        </w:rPr>
        <w:t>o</w:t>
      </w:r>
      <w:r w:rsidRPr="009631EA" w:rsidDel="00941A31">
        <w:rPr>
          <w:rFonts w:ascii="Myriad Pro" w:hAnsi="Myriad Pro" w:cs="Arial"/>
          <w:b/>
          <w:color w:val="000000"/>
          <w:sz w:val="20"/>
          <w:szCs w:val="20"/>
        </w:rPr>
        <w:t xml:space="preserve"> </w:t>
      </w:r>
    </w:p>
    <w:p w:rsidR="009631EA" w:rsidRPr="009631EA" w:rsidRDefault="009631EA" w:rsidP="009631EA">
      <w:pPr>
        <w:autoSpaceDE w:val="0"/>
        <w:autoSpaceDN w:val="0"/>
        <w:adjustRightInd w:val="0"/>
        <w:jc w:val="both"/>
        <w:rPr>
          <w:rFonts w:ascii="Myriad Pro" w:hAnsi="Myriad Pro" w:cs="Arial"/>
          <w:b/>
          <w:color w:val="000000"/>
          <w:sz w:val="20"/>
          <w:szCs w:val="20"/>
        </w:rPr>
      </w:pPr>
      <w:r w:rsidRPr="009631EA">
        <w:rPr>
          <w:rFonts w:ascii="Myriad Pro" w:hAnsi="Myriad Pro" w:cs="Arial"/>
          <w:b/>
          <w:color w:val="000000"/>
          <w:sz w:val="20"/>
          <w:szCs w:val="20"/>
        </w:rPr>
        <w:t>C = --------------------------------------------- x 100 pkt x</w:t>
      </w:r>
      <w:r w:rsidR="00A76179">
        <w:rPr>
          <w:rFonts w:ascii="Myriad Pro" w:hAnsi="Myriad Pro" w:cs="Arial"/>
          <w:b/>
          <w:color w:val="000000"/>
          <w:sz w:val="20"/>
          <w:szCs w:val="20"/>
        </w:rPr>
        <w:t>2</w:t>
      </w:r>
      <w:r w:rsidRPr="009631EA">
        <w:rPr>
          <w:rFonts w:ascii="Myriad Pro" w:hAnsi="Myriad Pro" w:cs="Arial"/>
          <w:b/>
          <w:color w:val="000000"/>
          <w:sz w:val="20"/>
          <w:szCs w:val="20"/>
        </w:rPr>
        <w:t>0% (waga)</w:t>
      </w:r>
    </w:p>
    <w:p w:rsidR="009631EA" w:rsidRPr="009631EA" w:rsidRDefault="009631EA" w:rsidP="009631EA">
      <w:pPr>
        <w:autoSpaceDE w:val="0"/>
        <w:autoSpaceDN w:val="0"/>
        <w:adjustRightInd w:val="0"/>
        <w:ind w:firstLine="567"/>
        <w:jc w:val="both"/>
        <w:rPr>
          <w:rFonts w:ascii="Myriad Pro" w:hAnsi="Myriad Pro" w:cs="Arial"/>
          <w:b/>
          <w:color w:val="000000"/>
          <w:sz w:val="20"/>
          <w:szCs w:val="20"/>
        </w:rPr>
      </w:pPr>
      <w:r w:rsidRPr="009631EA">
        <w:rPr>
          <w:rFonts w:ascii="Myriad Pro" w:hAnsi="Myriad Pro" w:cs="Arial"/>
          <w:b/>
          <w:color w:val="000000"/>
          <w:sz w:val="20"/>
          <w:szCs w:val="20"/>
        </w:rPr>
        <w:t xml:space="preserve">      C</w:t>
      </w:r>
      <w:r w:rsidRPr="009631EA">
        <w:rPr>
          <w:rFonts w:ascii="Myriad Pro" w:hAnsi="Myriad Pro" w:cs="Arial"/>
          <w:b/>
          <w:color w:val="000000"/>
          <w:sz w:val="20"/>
          <w:szCs w:val="20"/>
          <w:vertAlign w:val="subscript"/>
        </w:rPr>
        <w:t xml:space="preserve">max  </w:t>
      </w:r>
      <w:r w:rsidRPr="009631EA">
        <w:rPr>
          <w:rFonts w:ascii="Myriad Pro" w:hAnsi="Myriad Pro" w:cs="Arial"/>
          <w:b/>
          <w:color w:val="000000"/>
          <w:sz w:val="20"/>
          <w:szCs w:val="20"/>
        </w:rPr>
        <w:t>–  C</w:t>
      </w:r>
      <w:r w:rsidRPr="009631EA">
        <w:rPr>
          <w:rFonts w:ascii="Myriad Pro" w:hAnsi="Myriad Pro" w:cs="Arial"/>
          <w:b/>
          <w:color w:val="000000"/>
          <w:sz w:val="20"/>
          <w:szCs w:val="20"/>
          <w:vertAlign w:val="subscript"/>
        </w:rPr>
        <w:t>min</w:t>
      </w:r>
    </w:p>
    <w:p w:rsidR="009631EA" w:rsidRPr="009631EA" w:rsidRDefault="009631EA" w:rsidP="009631EA">
      <w:pPr>
        <w:autoSpaceDE w:val="0"/>
        <w:autoSpaceDN w:val="0"/>
        <w:adjustRightInd w:val="0"/>
        <w:ind w:firstLine="567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9631EA" w:rsidRPr="009631EA" w:rsidRDefault="009631EA" w:rsidP="009631E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color w:val="000000"/>
          <w:sz w:val="20"/>
          <w:szCs w:val="20"/>
        </w:rPr>
      </w:pPr>
      <w:r w:rsidRPr="009631EA">
        <w:rPr>
          <w:rFonts w:ascii="Myriad Pro" w:hAnsi="Myriad Pro" w:cs="Arial"/>
          <w:b/>
          <w:color w:val="000000"/>
          <w:sz w:val="20"/>
          <w:szCs w:val="20"/>
        </w:rPr>
        <w:t xml:space="preserve">gdzie: </w:t>
      </w:r>
    </w:p>
    <w:p w:rsidR="009631EA" w:rsidRPr="009631EA" w:rsidRDefault="009631EA" w:rsidP="009631E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9631EA">
        <w:rPr>
          <w:rFonts w:ascii="Myriad Pro" w:hAnsi="Myriad Pro" w:cs="Arial"/>
          <w:b/>
          <w:color w:val="000000"/>
          <w:sz w:val="20"/>
          <w:szCs w:val="20"/>
        </w:rPr>
        <w:t>C</w:t>
      </w:r>
      <w:r w:rsidRPr="009631EA">
        <w:rPr>
          <w:rFonts w:ascii="Myriad Pro" w:hAnsi="Myriad Pro" w:cs="Arial"/>
          <w:b/>
          <w:color w:val="000000"/>
          <w:sz w:val="20"/>
          <w:szCs w:val="20"/>
          <w:vertAlign w:val="subscript"/>
        </w:rPr>
        <w:t>max</w:t>
      </w:r>
      <w:r w:rsidRPr="009631EA">
        <w:rPr>
          <w:rFonts w:ascii="Myriad Pro" w:hAnsi="Myriad Pro" w:cs="Arial"/>
          <w:color w:val="000000"/>
          <w:sz w:val="20"/>
          <w:szCs w:val="20"/>
          <w:vertAlign w:val="subscript"/>
        </w:rPr>
        <w:t xml:space="preserve">  </w:t>
      </w:r>
      <w:r w:rsidRPr="009631EA">
        <w:rPr>
          <w:rFonts w:ascii="Myriad Pro" w:hAnsi="Myriad Pro" w:cs="Arial"/>
          <w:color w:val="000000"/>
          <w:sz w:val="20"/>
          <w:szCs w:val="20"/>
        </w:rPr>
        <w:t>–  najwyższa akceptowalna cena brutto</w:t>
      </w:r>
      <w:r w:rsidRPr="009631EA">
        <w:rPr>
          <w:rFonts w:ascii="Myriad Pro" w:hAnsi="Myriad Pro" w:cs="Arial"/>
          <w:b/>
          <w:color w:val="000000"/>
          <w:sz w:val="20"/>
          <w:szCs w:val="20"/>
          <w:vertAlign w:val="superscript"/>
        </w:rPr>
        <w:t>1</w:t>
      </w:r>
    </w:p>
    <w:p w:rsidR="009631EA" w:rsidRPr="009631EA" w:rsidRDefault="009631EA" w:rsidP="009631E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9631EA">
        <w:rPr>
          <w:rFonts w:ascii="Myriad Pro" w:hAnsi="Myriad Pro" w:cs="Arial"/>
          <w:b/>
          <w:color w:val="000000"/>
          <w:sz w:val="20"/>
          <w:szCs w:val="20"/>
        </w:rPr>
        <w:t>C</w:t>
      </w:r>
      <w:r w:rsidRPr="009631EA">
        <w:rPr>
          <w:rFonts w:ascii="Myriad Pro" w:hAnsi="Myriad Pro" w:cs="Arial"/>
          <w:b/>
          <w:color w:val="000000"/>
          <w:sz w:val="20"/>
          <w:szCs w:val="20"/>
          <w:vertAlign w:val="subscript"/>
        </w:rPr>
        <w:t>min</w:t>
      </w:r>
      <w:r w:rsidRPr="009631EA">
        <w:rPr>
          <w:rFonts w:ascii="Myriad Pro" w:hAnsi="Myriad Pro" w:cs="Arial"/>
          <w:color w:val="000000"/>
          <w:sz w:val="20"/>
          <w:szCs w:val="20"/>
          <w:vertAlign w:val="subscript"/>
        </w:rPr>
        <w:t xml:space="preserve">  </w:t>
      </w:r>
      <w:r w:rsidRPr="009631EA">
        <w:rPr>
          <w:rFonts w:ascii="Myriad Pro" w:hAnsi="Myriad Pro" w:cs="Arial"/>
          <w:color w:val="000000"/>
          <w:sz w:val="20"/>
          <w:szCs w:val="20"/>
        </w:rPr>
        <w:t xml:space="preserve">–  70% najwyższej akceptowalnej ceny brutto (70% </w:t>
      </w:r>
      <w:r w:rsidRPr="009631EA">
        <w:rPr>
          <w:rFonts w:ascii="Myriad Pro" w:hAnsi="Myriad Pro" w:cs="Arial"/>
          <w:b/>
          <w:color w:val="000000"/>
          <w:sz w:val="20"/>
          <w:szCs w:val="20"/>
        </w:rPr>
        <w:t>C</w:t>
      </w:r>
      <w:r w:rsidRPr="009631EA">
        <w:rPr>
          <w:rFonts w:ascii="Myriad Pro" w:hAnsi="Myriad Pro" w:cs="Arial"/>
          <w:b/>
          <w:color w:val="000000"/>
          <w:sz w:val="20"/>
          <w:szCs w:val="20"/>
          <w:vertAlign w:val="subscript"/>
        </w:rPr>
        <w:t>max</w:t>
      </w:r>
      <w:r w:rsidRPr="009631EA">
        <w:rPr>
          <w:rFonts w:ascii="Myriad Pro" w:hAnsi="Myriad Pro" w:cs="Arial"/>
          <w:color w:val="000000"/>
          <w:sz w:val="20"/>
          <w:szCs w:val="20"/>
        </w:rPr>
        <w:t>)</w:t>
      </w:r>
      <w:r w:rsidRPr="009631EA">
        <w:rPr>
          <w:rFonts w:ascii="Myriad Pro" w:hAnsi="Myriad Pro" w:cs="Arial"/>
          <w:b/>
          <w:color w:val="000000"/>
          <w:sz w:val="20"/>
          <w:szCs w:val="20"/>
          <w:vertAlign w:val="superscript"/>
        </w:rPr>
        <w:t>2</w:t>
      </w:r>
      <w:r w:rsidRPr="009631EA">
        <w:rPr>
          <w:rFonts w:ascii="Myriad Pro" w:hAnsi="Myriad Pro" w:cs="Arial"/>
          <w:b/>
          <w:color w:val="000000"/>
          <w:sz w:val="20"/>
          <w:szCs w:val="20"/>
        </w:rPr>
        <w:t xml:space="preserve"> </w:t>
      </w:r>
    </w:p>
    <w:p w:rsidR="009631EA" w:rsidRPr="009631EA" w:rsidRDefault="009631EA" w:rsidP="009631E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9631EA">
        <w:rPr>
          <w:rFonts w:ascii="Myriad Pro" w:hAnsi="Myriad Pro" w:cs="Arial"/>
          <w:b/>
          <w:color w:val="000000"/>
          <w:sz w:val="20"/>
          <w:szCs w:val="20"/>
        </w:rPr>
        <w:t>C</w:t>
      </w:r>
      <w:r w:rsidRPr="009631EA">
        <w:rPr>
          <w:rFonts w:ascii="Myriad Pro" w:hAnsi="Myriad Pro" w:cs="Arial"/>
          <w:b/>
          <w:color w:val="000000"/>
          <w:sz w:val="20"/>
          <w:szCs w:val="20"/>
          <w:vertAlign w:val="subscript"/>
        </w:rPr>
        <w:t>o</w:t>
      </w:r>
      <w:r w:rsidRPr="009631EA">
        <w:rPr>
          <w:rFonts w:ascii="Myriad Pro" w:hAnsi="Myriad Pro" w:cs="Arial"/>
          <w:color w:val="000000"/>
          <w:sz w:val="20"/>
          <w:szCs w:val="20"/>
          <w:vertAlign w:val="subscript"/>
        </w:rPr>
        <w:t xml:space="preserve">  </w:t>
      </w:r>
      <w:r w:rsidRPr="009631EA">
        <w:rPr>
          <w:rFonts w:ascii="Myriad Pro" w:hAnsi="Myriad Pro" w:cs="Arial"/>
          <w:color w:val="000000"/>
          <w:sz w:val="20"/>
          <w:szCs w:val="20"/>
        </w:rPr>
        <w:t xml:space="preserve">–  cena brutto oferty ocenianej </w:t>
      </w:r>
    </w:p>
    <w:p w:rsidR="009631EA" w:rsidRPr="009631EA" w:rsidRDefault="009631EA" w:rsidP="009631E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9631EA">
        <w:rPr>
          <w:rFonts w:ascii="Myriad Pro" w:hAnsi="Myriad Pro" w:cs="Arial"/>
          <w:b/>
          <w:color w:val="000000"/>
          <w:sz w:val="20"/>
          <w:szCs w:val="20"/>
          <w:vertAlign w:val="superscript"/>
        </w:rPr>
        <w:t xml:space="preserve">1 </w:t>
      </w:r>
      <w:r w:rsidRPr="009631EA">
        <w:rPr>
          <w:rFonts w:ascii="Myriad Pro" w:hAnsi="Myriad Pro" w:cs="Arial"/>
          <w:b/>
          <w:color w:val="000000"/>
          <w:sz w:val="20"/>
          <w:szCs w:val="20"/>
        </w:rPr>
        <w:t>Uwaga!</w:t>
      </w:r>
      <w:r w:rsidRPr="009631EA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Pr="009631EA">
        <w:rPr>
          <w:rFonts w:ascii="Myriad Pro" w:hAnsi="Myriad Pro" w:cs="Arial"/>
          <w:b/>
          <w:color w:val="000000"/>
          <w:sz w:val="20"/>
          <w:szCs w:val="20"/>
        </w:rPr>
        <w:t>C</w:t>
      </w:r>
      <w:r w:rsidRPr="009631EA">
        <w:rPr>
          <w:rFonts w:ascii="Myriad Pro" w:hAnsi="Myriad Pro" w:cs="Arial"/>
          <w:b/>
          <w:color w:val="000000"/>
          <w:sz w:val="20"/>
          <w:szCs w:val="20"/>
          <w:vertAlign w:val="subscript"/>
        </w:rPr>
        <w:t>max</w:t>
      </w:r>
      <w:r w:rsidRPr="009631EA">
        <w:rPr>
          <w:rFonts w:ascii="Myriad Pro" w:hAnsi="Myriad Pro" w:cs="Arial"/>
          <w:color w:val="000000"/>
          <w:sz w:val="20"/>
          <w:szCs w:val="20"/>
          <w:vertAlign w:val="subscript"/>
        </w:rPr>
        <w:t xml:space="preserve"> </w:t>
      </w:r>
      <w:r w:rsidRPr="009631EA">
        <w:rPr>
          <w:rFonts w:ascii="Myriad Pro" w:hAnsi="Myriad Pro" w:cs="Arial"/>
          <w:color w:val="000000"/>
          <w:sz w:val="20"/>
          <w:szCs w:val="20"/>
        </w:rPr>
        <w:t xml:space="preserve">jest kwotą jaką Zamawiający może przeznaczyć na sfinansowanie zamówienia i wynosi ona </w:t>
      </w:r>
      <w:r>
        <w:rPr>
          <w:rFonts w:ascii="Myriad Pro" w:hAnsi="Myriad Pro" w:cs="Arial"/>
          <w:b/>
          <w:color w:val="000000"/>
          <w:sz w:val="20"/>
          <w:szCs w:val="20"/>
        </w:rPr>
        <w:t>….</w:t>
      </w:r>
      <w:r w:rsidRPr="009631EA">
        <w:rPr>
          <w:rFonts w:ascii="Myriad Pro" w:hAnsi="Myriad Pro" w:cs="Arial"/>
          <w:b/>
          <w:color w:val="000000"/>
          <w:sz w:val="20"/>
          <w:szCs w:val="20"/>
        </w:rPr>
        <w:t xml:space="preserve">  złotych (kwota brutto)</w:t>
      </w:r>
      <w:r w:rsidRPr="009631EA">
        <w:rPr>
          <w:rFonts w:ascii="Myriad Pro" w:hAnsi="Myriad Pro" w:cs="Arial"/>
          <w:color w:val="000000"/>
          <w:sz w:val="20"/>
          <w:szCs w:val="20"/>
        </w:rPr>
        <w:t>. Oferta z ceną brutto przekraczającą tę kwotę zostanie odrzucona.</w:t>
      </w:r>
    </w:p>
    <w:p w:rsidR="009631EA" w:rsidRPr="009631EA" w:rsidRDefault="009631EA" w:rsidP="009631E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9631EA">
        <w:rPr>
          <w:rFonts w:ascii="Myriad Pro" w:hAnsi="Myriad Pro" w:cs="Arial"/>
          <w:color w:val="000000"/>
          <w:sz w:val="20"/>
          <w:szCs w:val="20"/>
        </w:rPr>
        <w:t xml:space="preserve"> </w:t>
      </w:r>
    </w:p>
    <w:p w:rsidR="009631EA" w:rsidRPr="009631EA" w:rsidRDefault="009631EA" w:rsidP="009631E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9631EA">
        <w:rPr>
          <w:rFonts w:ascii="Myriad Pro" w:hAnsi="Myriad Pro" w:cs="Arial"/>
          <w:b/>
          <w:color w:val="000000"/>
          <w:sz w:val="20"/>
          <w:szCs w:val="20"/>
          <w:vertAlign w:val="superscript"/>
        </w:rPr>
        <w:t>2</w:t>
      </w:r>
      <w:r w:rsidRPr="009631EA">
        <w:rPr>
          <w:rFonts w:ascii="Myriad Pro" w:hAnsi="Myriad Pro" w:cs="Arial"/>
          <w:color w:val="000000"/>
          <w:sz w:val="20"/>
          <w:szCs w:val="20"/>
          <w:vertAlign w:val="superscript"/>
        </w:rPr>
        <w:t xml:space="preserve"> </w:t>
      </w:r>
      <w:r w:rsidRPr="009631EA">
        <w:rPr>
          <w:rFonts w:ascii="Myriad Pro" w:hAnsi="Myriad Pro" w:cs="Arial"/>
          <w:b/>
          <w:color w:val="000000"/>
          <w:sz w:val="20"/>
          <w:szCs w:val="20"/>
        </w:rPr>
        <w:t>Uwaga!</w:t>
      </w:r>
      <w:r w:rsidRPr="009631EA">
        <w:rPr>
          <w:rFonts w:ascii="Myriad Pro" w:hAnsi="Myriad Pro" w:cs="Arial"/>
          <w:color w:val="000000"/>
          <w:sz w:val="20"/>
          <w:szCs w:val="20"/>
        </w:rPr>
        <w:t xml:space="preserve"> W przypadku, gdy wpłynie oferta z ceną brutto poniżej </w:t>
      </w:r>
      <w:r w:rsidRPr="009631EA">
        <w:rPr>
          <w:rFonts w:ascii="Myriad Pro" w:hAnsi="Myriad Pro" w:cs="Arial"/>
          <w:b/>
          <w:color w:val="000000"/>
          <w:sz w:val="20"/>
          <w:szCs w:val="20"/>
        </w:rPr>
        <w:t>C</w:t>
      </w:r>
      <w:r w:rsidRPr="009631EA">
        <w:rPr>
          <w:rFonts w:ascii="Myriad Pro" w:hAnsi="Myriad Pro" w:cs="Arial"/>
          <w:b/>
          <w:color w:val="000000"/>
          <w:sz w:val="20"/>
          <w:szCs w:val="20"/>
          <w:vertAlign w:val="subscript"/>
        </w:rPr>
        <w:t>min</w:t>
      </w:r>
      <w:r w:rsidRPr="009631EA">
        <w:rPr>
          <w:rFonts w:ascii="Myriad Pro" w:hAnsi="Myriad Pro" w:cs="Arial"/>
          <w:color w:val="000000"/>
          <w:sz w:val="20"/>
          <w:szCs w:val="20"/>
        </w:rPr>
        <w:t xml:space="preserve"> – Zamawiający </w:t>
      </w:r>
      <w:r w:rsidRPr="009631EA">
        <w:rPr>
          <w:rFonts w:ascii="Myriad Pro" w:hAnsi="Myriad Pro" w:cs="Arial"/>
          <w:color w:val="000000"/>
          <w:sz w:val="20"/>
          <w:szCs w:val="20"/>
        </w:rPr>
        <w:br/>
        <w:t xml:space="preserve">zwróci się do Wykonawcy </w:t>
      </w:r>
      <w:r w:rsidRPr="009631EA">
        <w:rPr>
          <w:rFonts w:ascii="Myriad Pro" w:hAnsi="Myriad Pro" w:cs="Arial"/>
          <w:sz w:val="20"/>
          <w:szCs w:val="20"/>
        </w:rPr>
        <w:t>o udzielenie wyjaśnień (w tym złożenie dowodów, dotyczących e</w:t>
      </w:r>
      <w:r w:rsidR="001D4999">
        <w:rPr>
          <w:rFonts w:ascii="Myriad Pro" w:hAnsi="Myriad Pro" w:cs="Arial"/>
          <w:sz w:val="20"/>
          <w:szCs w:val="20"/>
        </w:rPr>
        <w:t xml:space="preserve">lementów oferty mających wpływ </w:t>
      </w:r>
      <w:r w:rsidRPr="009631EA">
        <w:rPr>
          <w:rFonts w:ascii="Myriad Pro" w:hAnsi="Myriad Pro" w:cs="Arial"/>
          <w:sz w:val="20"/>
          <w:szCs w:val="20"/>
        </w:rPr>
        <w:t>na wysokość ceny), że</w:t>
      </w:r>
      <w:r w:rsidRPr="009631EA">
        <w:rPr>
          <w:rFonts w:ascii="Myriad Pro" w:hAnsi="Myriad Pro" w:cs="Arial"/>
          <w:color w:val="000000"/>
          <w:sz w:val="20"/>
          <w:szCs w:val="20"/>
        </w:rPr>
        <w:t xml:space="preserve"> nie jest to cena rażąco niska. Jeżeli Wykonawca udowodni, że zaoferowana przez niego cena nie jest rażąco niska, wówczas zaoferowana przez niego cena zostanie podstawiona do wzoru jako </w:t>
      </w:r>
      <w:r w:rsidRPr="009631EA">
        <w:rPr>
          <w:rFonts w:ascii="Myriad Pro" w:hAnsi="Myriad Pro" w:cs="Arial"/>
          <w:b/>
          <w:color w:val="000000"/>
          <w:sz w:val="20"/>
          <w:szCs w:val="20"/>
        </w:rPr>
        <w:t>C</w:t>
      </w:r>
      <w:r w:rsidRPr="009631EA">
        <w:rPr>
          <w:rFonts w:ascii="Myriad Pro" w:hAnsi="Myriad Pro" w:cs="Arial"/>
          <w:b/>
          <w:color w:val="000000"/>
          <w:sz w:val="20"/>
          <w:szCs w:val="20"/>
          <w:vertAlign w:val="subscript"/>
        </w:rPr>
        <w:t>min</w:t>
      </w:r>
      <w:r w:rsidRPr="009631EA">
        <w:rPr>
          <w:rFonts w:ascii="Myriad Pro" w:hAnsi="Myriad Pro" w:cs="Arial"/>
          <w:color w:val="000000"/>
          <w:sz w:val="20"/>
          <w:szCs w:val="20"/>
        </w:rPr>
        <w:t>.</w:t>
      </w:r>
    </w:p>
    <w:p w:rsidR="005F6D6A" w:rsidRPr="009631EA" w:rsidRDefault="005F6D6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EC2085" w:rsidRDefault="00EC2085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7C0413" w:rsidRDefault="007C0413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7C0413" w:rsidRDefault="007C0413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5F6D6A" w:rsidRPr="008F37AF" w:rsidRDefault="000F4203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>Z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 xml:space="preserve">a kryterium </w:t>
      </w:r>
      <w:r w:rsidR="005F6D6A" w:rsidRPr="008F37AF">
        <w:rPr>
          <w:rFonts w:ascii="Myriad Pro" w:hAnsi="Myriad Pro" w:cs="Arial"/>
          <w:b/>
          <w:color w:val="000000"/>
          <w:sz w:val="20"/>
          <w:szCs w:val="20"/>
        </w:rPr>
        <w:t>„</w:t>
      </w:r>
      <w:r w:rsidR="009631EA">
        <w:rPr>
          <w:rFonts w:ascii="Myriad Pro" w:hAnsi="Myriad Pro" w:cs="Arial"/>
          <w:b/>
          <w:color w:val="000000"/>
          <w:sz w:val="20"/>
          <w:szCs w:val="20"/>
        </w:rPr>
        <w:t>doświadczenie wykonawcy</w:t>
      </w:r>
      <w:r w:rsidR="005F6D6A" w:rsidRPr="008F37AF">
        <w:rPr>
          <w:rFonts w:ascii="Myriad Pro" w:hAnsi="Myriad Pro" w:cs="Arial"/>
          <w:b/>
          <w:color w:val="000000"/>
          <w:sz w:val="20"/>
          <w:szCs w:val="20"/>
        </w:rPr>
        <w:t>”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można otrzymać maksymalnie </w:t>
      </w:r>
      <w:r w:rsidR="009631EA" w:rsidRPr="00CB2A44">
        <w:rPr>
          <w:rFonts w:ascii="Myriad Pro" w:hAnsi="Myriad Pro" w:cs="Arial"/>
          <w:b/>
          <w:color w:val="000000"/>
          <w:sz w:val="20"/>
          <w:szCs w:val="20"/>
        </w:rPr>
        <w:t>3</w:t>
      </w:r>
      <w:r w:rsidR="002D01E6">
        <w:rPr>
          <w:rFonts w:ascii="Myriad Pro" w:hAnsi="Myriad Pro" w:cs="Arial"/>
          <w:b/>
          <w:color w:val="000000"/>
          <w:sz w:val="20"/>
          <w:szCs w:val="20"/>
        </w:rPr>
        <w:t>5</w:t>
      </w:r>
      <w:r w:rsidRPr="00CB2A44">
        <w:rPr>
          <w:rFonts w:ascii="Myriad Pro" w:hAnsi="Myriad Pro" w:cs="Arial"/>
          <w:b/>
          <w:color w:val="000000"/>
          <w:sz w:val="20"/>
          <w:szCs w:val="20"/>
        </w:rPr>
        <w:t xml:space="preserve"> punktów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. 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>W ocenie pod uwagę będą brane:</w:t>
      </w:r>
    </w:p>
    <w:p w:rsidR="001D4999" w:rsidRPr="008A00CC" w:rsidRDefault="001D4999" w:rsidP="008F4078">
      <w:pPr>
        <w:numPr>
          <w:ilvl w:val="0"/>
          <w:numId w:val="4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A00CC">
        <w:rPr>
          <w:rFonts w:ascii="Myriad Pro" w:hAnsi="Myriad Pro" w:cs="Arial"/>
          <w:color w:val="000000"/>
          <w:sz w:val="20"/>
          <w:szCs w:val="20"/>
        </w:rPr>
        <w:t>Wykonanie co najmniej 2 prognoz oceny oddziaływania na środowisko w obszarze transportu</w:t>
      </w:r>
      <w:r w:rsidR="007C0413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Pr="008A00CC">
        <w:rPr>
          <w:rFonts w:ascii="Myriad Pro" w:hAnsi="Myriad Pro" w:cs="Arial"/>
          <w:color w:val="000000"/>
          <w:sz w:val="20"/>
          <w:szCs w:val="20"/>
        </w:rPr>
        <w:t xml:space="preserve">– </w:t>
      </w:r>
      <w:r w:rsidR="00E36D1A">
        <w:rPr>
          <w:rFonts w:ascii="Myriad Pro" w:hAnsi="Myriad Pro" w:cs="Arial"/>
          <w:color w:val="000000"/>
          <w:sz w:val="20"/>
          <w:szCs w:val="20"/>
        </w:rPr>
        <w:t>10</w:t>
      </w:r>
      <w:r w:rsidRPr="008A00CC">
        <w:rPr>
          <w:rFonts w:ascii="Myriad Pro" w:hAnsi="Myriad Pro" w:cs="Arial"/>
          <w:color w:val="000000"/>
          <w:sz w:val="20"/>
          <w:szCs w:val="20"/>
        </w:rPr>
        <w:t xml:space="preserve"> pkt </w:t>
      </w:r>
    </w:p>
    <w:p w:rsidR="001D4999" w:rsidRPr="008A00CC" w:rsidRDefault="001D4999" w:rsidP="008F4078">
      <w:pPr>
        <w:numPr>
          <w:ilvl w:val="0"/>
          <w:numId w:val="4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A00CC">
        <w:rPr>
          <w:rFonts w:ascii="Myriad Pro" w:hAnsi="Myriad Pro" w:cs="Arial"/>
          <w:color w:val="000000"/>
          <w:sz w:val="20"/>
          <w:szCs w:val="20"/>
        </w:rPr>
        <w:t>Wykonanie więcej niż 2 prognoz oceny oddziaływania na środowisko w obszarze transportu</w:t>
      </w:r>
      <w:r w:rsidR="007C0413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Pr="008A00CC">
        <w:rPr>
          <w:rFonts w:ascii="Myriad Pro" w:hAnsi="Myriad Pro" w:cs="Arial"/>
          <w:color w:val="000000"/>
          <w:sz w:val="20"/>
          <w:szCs w:val="20"/>
        </w:rPr>
        <w:t>– 1</w:t>
      </w:r>
      <w:r w:rsidR="00E36D1A">
        <w:rPr>
          <w:rFonts w:ascii="Myriad Pro" w:hAnsi="Myriad Pro" w:cs="Arial"/>
          <w:color w:val="000000"/>
          <w:sz w:val="20"/>
          <w:szCs w:val="20"/>
        </w:rPr>
        <w:t>5</w:t>
      </w:r>
      <w:r w:rsidRPr="008A00CC">
        <w:rPr>
          <w:rFonts w:ascii="Myriad Pro" w:hAnsi="Myriad Pro" w:cs="Arial"/>
          <w:color w:val="000000"/>
          <w:sz w:val="20"/>
          <w:szCs w:val="20"/>
        </w:rPr>
        <w:t xml:space="preserve"> pkt</w:t>
      </w:r>
    </w:p>
    <w:p w:rsidR="001D4999" w:rsidRPr="008A00CC" w:rsidRDefault="001D4999" w:rsidP="008F4078">
      <w:pPr>
        <w:numPr>
          <w:ilvl w:val="0"/>
          <w:numId w:val="4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A00CC">
        <w:rPr>
          <w:rFonts w:ascii="Myriad Pro" w:hAnsi="Myriad Pro" w:cs="Arial"/>
          <w:color w:val="000000"/>
          <w:sz w:val="20"/>
          <w:szCs w:val="20"/>
        </w:rPr>
        <w:t xml:space="preserve">Wykonanie od 1 do 2 prognoz oceny oddziaływania na środowisko powyżej minimum określonego w warunkach udziału wykonawcy – </w:t>
      </w:r>
      <w:r w:rsidR="002D01E6">
        <w:rPr>
          <w:rFonts w:ascii="Myriad Pro" w:hAnsi="Myriad Pro" w:cs="Arial"/>
          <w:color w:val="000000"/>
          <w:sz w:val="20"/>
          <w:szCs w:val="20"/>
        </w:rPr>
        <w:t>10</w:t>
      </w:r>
      <w:r w:rsidRPr="008A00CC">
        <w:rPr>
          <w:rFonts w:ascii="Myriad Pro" w:hAnsi="Myriad Pro" w:cs="Arial"/>
          <w:color w:val="000000"/>
          <w:sz w:val="20"/>
          <w:szCs w:val="20"/>
        </w:rPr>
        <w:t xml:space="preserve"> pkt </w:t>
      </w:r>
    </w:p>
    <w:p w:rsidR="001D4999" w:rsidRPr="008A00CC" w:rsidRDefault="001D4999" w:rsidP="001D4999">
      <w:pPr>
        <w:numPr>
          <w:ilvl w:val="0"/>
          <w:numId w:val="4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A00CC">
        <w:rPr>
          <w:rFonts w:ascii="Myriad Pro" w:hAnsi="Myriad Pro" w:cs="Arial"/>
          <w:color w:val="000000"/>
          <w:sz w:val="20"/>
          <w:szCs w:val="20"/>
        </w:rPr>
        <w:t xml:space="preserve">Wykonanie od 3 </w:t>
      </w:r>
      <w:r w:rsidR="008A00CC">
        <w:rPr>
          <w:rFonts w:ascii="Myriad Pro" w:hAnsi="Myriad Pro" w:cs="Arial"/>
          <w:color w:val="000000"/>
          <w:sz w:val="20"/>
          <w:szCs w:val="20"/>
        </w:rPr>
        <w:t>i więcej</w:t>
      </w:r>
      <w:r w:rsidRPr="008A00CC">
        <w:rPr>
          <w:rFonts w:ascii="Myriad Pro" w:hAnsi="Myriad Pro" w:cs="Arial"/>
          <w:color w:val="000000"/>
          <w:sz w:val="20"/>
          <w:szCs w:val="20"/>
        </w:rPr>
        <w:t xml:space="preserve"> prognoz oceny oddziaływania na środowisko powyżej minimum określonego w warunkach udziału wykonawcy – </w:t>
      </w:r>
      <w:r w:rsidR="00490AB5">
        <w:rPr>
          <w:rFonts w:ascii="Myriad Pro" w:hAnsi="Myriad Pro" w:cs="Arial"/>
          <w:color w:val="000000"/>
          <w:sz w:val="20"/>
          <w:szCs w:val="20"/>
        </w:rPr>
        <w:t>2</w:t>
      </w:r>
      <w:r w:rsidR="00490AB5" w:rsidRPr="008A00CC">
        <w:rPr>
          <w:rFonts w:ascii="Myriad Pro" w:hAnsi="Myriad Pro" w:cs="Arial"/>
          <w:color w:val="000000"/>
          <w:sz w:val="20"/>
          <w:szCs w:val="20"/>
        </w:rPr>
        <w:t xml:space="preserve">0 </w:t>
      </w:r>
      <w:r w:rsidRPr="008A00CC">
        <w:rPr>
          <w:rFonts w:ascii="Myriad Pro" w:hAnsi="Myriad Pro" w:cs="Arial"/>
          <w:color w:val="000000"/>
          <w:sz w:val="20"/>
          <w:szCs w:val="20"/>
        </w:rPr>
        <w:t xml:space="preserve">pkt </w:t>
      </w:r>
    </w:p>
    <w:p w:rsidR="0033002F" w:rsidRPr="001F686A" w:rsidRDefault="00A76179" w:rsidP="0033002F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>
        <w:rPr>
          <w:rFonts w:ascii="Myriad Pro" w:hAnsi="Myriad Pro" w:cs="Arial"/>
          <w:color w:val="000000"/>
          <w:sz w:val="20"/>
          <w:szCs w:val="20"/>
        </w:rPr>
        <w:t>Prognozy muszą zostać zrealizowane w okresie ostatnich 10 lat przed terminem składania ofert</w:t>
      </w:r>
      <w:r w:rsidR="0033002F">
        <w:rPr>
          <w:rFonts w:ascii="Myriad Pro" w:hAnsi="Myriad Pro" w:cs="Arial"/>
          <w:color w:val="000000"/>
          <w:sz w:val="20"/>
          <w:szCs w:val="20"/>
        </w:rPr>
        <w:t xml:space="preserve"> oraz ich przedmiotem były projekty dokumentów</w:t>
      </w:r>
      <w:r w:rsidR="00032DBA">
        <w:rPr>
          <w:rFonts w:ascii="Myriad Pro" w:hAnsi="Myriad Pro" w:cs="Arial"/>
          <w:color w:val="000000"/>
          <w:sz w:val="20"/>
          <w:szCs w:val="20"/>
        </w:rPr>
        <w:t>,</w:t>
      </w:r>
      <w:r w:rsidR="0033002F" w:rsidRPr="0033002F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33002F" w:rsidRPr="007E3846">
        <w:rPr>
          <w:rFonts w:ascii="Myriad Pro" w:hAnsi="Myriad Pro" w:cs="Arial"/>
          <w:color w:val="000000"/>
          <w:sz w:val="20"/>
          <w:szCs w:val="20"/>
        </w:rPr>
        <w:t>o których mowa w art. 46 lub 47 ustawy z dnia 3 października 2008 r. o udostępnianiu informacji o środowisku i jego ochronie, udziale społeczeństwa w ochronie środowiska oraz o ocenach oddziaływania na środowisko (Dz.</w:t>
      </w:r>
      <w:r w:rsidR="000B2AB8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33002F" w:rsidRPr="007E3846">
        <w:rPr>
          <w:rFonts w:ascii="Myriad Pro" w:hAnsi="Myriad Pro" w:cs="Arial"/>
          <w:color w:val="000000"/>
          <w:sz w:val="20"/>
          <w:szCs w:val="20"/>
        </w:rPr>
        <w:t xml:space="preserve">U z </w:t>
      </w:r>
      <w:r w:rsidR="000B2AB8">
        <w:rPr>
          <w:rFonts w:ascii="Myriad Pro" w:hAnsi="Myriad Pro" w:cs="Arial"/>
          <w:color w:val="000000"/>
          <w:sz w:val="20"/>
          <w:szCs w:val="20"/>
        </w:rPr>
        <w:t>2016</w:t>
      </w:r>
      <w:r w:rsidR="0033002F" w:rsidRPr="007E3846">
        <w:rPr>
          <w:rFonts w:ascii="Myriad Pro" w:hAnsi="Myriad Pro" w:cs="Arial"/>
          <w:color w:val="000000"/>
          <w:sz w:val="20"/>
          <w:szCs w:val="20"/>
        </w:rPr>
        <w:t>,</w:t>
      </w:r>
      <w:r w:rsidR="0033002F">
        <w:rPr>
          <w:rFonts w:ascii="Myriad Pro" w:hAnsi="Myriad Pro" w:cs="Arial"/>
          <w:color w:val="000000"/>
          <w:sz w:val="20"/>
          <w:szCs w:val="20"/>
        </w:rPr>
        <w:t xml:space="preserve"> poz. </w:t>
      </w:r>
      <w:r w:rsidR="000B2AB8">
        <w:rPr>
          <w:rFonts w:ascii="Myriad Pro" w:hAnsi="Myriad Pro" w:cs="Arial"/>
          <w:color w:val="000000"/>
          <w:sz w:val="20"/>
          <w:szCs w:val="20"/>
        </w:rPr>
        <w:t xml:space="preserve">353 ze </w:t>
      </w:r>
      <w:r w:rsidR="0033002F">
        <w:rPr>
          <w:rFonts w:ascii="Myriad Pro" w:hAnsi="Myriad Pro" w:cs="Arial"/>
          <w:color w:val="000000"/>
          <w:sz w:val="20"/>
          <w:szCs w:val="20"/>
        </w:rPr>
        <w:t>zm.).</w:t>
      </w:r>
    </w:p>
    <w:p w:rsidR="001D4999" w:rsidRDefault="0033002F" w:rsidP="00A76179">
      <w:p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>
        <w:rPr>
          <w:rFonts w:ascii="Myriad Pro" w:hAnsi="Myriad Pro" w:cs="Arial"/>
          <w:color w:val="000000"/>
          <w:sz w:val="20"/>
          <w:szCs w:val="20"/>
        </w:rPr>
        <w:t xml:space="preserve"> </w:t>
      </w:r>
    </w:p>
    <w:p w:rsidR="00A76179" w:rsidRDefault="00A76179" w:rsidP="00A7617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>
        <w:rPr>
          <w:rFonts w:ascii="Myriad Pro" w:hAnsi="Myriad Pro" w:cs="Arial"/>
          <w:color w:val="000000"/>
          <w:sz w:val="20"/>
          <w:szCs w:val="20"/>
        </w:rPr>
        <w:t xml:space="preserve">Za kryterium </w:t>
      </w:r>
      <w:r w:rsidRPr="002D01E6">
        <w:rPr>
          <w:rFonts w:ascii="Myriad Pro" w:hAnsi="Myriad Pro" w:cs="Arial"/>
          <w:b/>
          <w:color w:val="000000"/>
          <w:sz w:val="20"/>
          <w:szCs w:val="20"/>
        </w:rPr>
        <w:t>„doświadczenie ekspertów”</w:t>
      </w:r>
      <w:r>
        <w:rPr>
          <w:rFonts w:ascii="Myriad Pro" w:hAnsi="Myriad Pro" w:cs="Arial"/>
          <w:color w:val="000000"/>
          <w:sz w:val="20"/>
          <w:szCs w:val="20"/>
        </w:rPr>
        <w:t xml:space="preserve"> (potencjał kadrowy) można 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otrzymać maksymalnie </w:t>
      </w:r>
      <w:r w:rsidRPr="00CB2A44">
        <w:rPr>
          <w:rFonts w:ascii="Myriad Pro" w:hAnsi="Myriad Pro" w:cs="Arial"/>
          <w:b/>
          <w:color w:val="000000"/>
          <w:sz w:val="20"/>
          <w:szCs w:val="20"/>
        </w:rPr>
        <w:t>3</w:t>
      </w:r>
      <w:r w:rsidR="002D01E6">
        <w:rPr>
          <w:rFonts w:ascii="Myriad Pro" w:hAnsi="Myriad Pro" w:cs="Arial"/>
          <w:b/>
          <w:color w:val="000000"/>
          <w:sz w:val="20"/>
          <w:szCs w:val="20"/>
        </w:rPr>
        <w:t>5</w:t>
      </w:r>
      <w:r w:rsidRPr="00CB2A44">
        <w:rPr>
          <w:rFonts w:ascii="Myriad Pro" w:hAnsi="Myriad Pro" w:cs="Arial"/>
          <w:b/>
          <w:color w:val="000000"/>
          <w:sz w:val="20"/>
          <w:szCs w:val="20"/>
        </w:rPr>
        <w:t xml:space="preserve"> punktów</w:t>
      </w:r>
      <w:r w:rsidRPr="008F37AF">
        <w:rPr>
          <w:rFonts w:ascii="Myriad Pro" w:hAnsi="Myriad Pro" w:cs="Arial"/>
          <w:color w:val="000000"/>
          <w:sz w:val="20"/>
          <w:szCs w:val="20"/>
        </w:rPr>
        <w:t>. W ocenie pod uwagę będą brane</w:t>
      </w:r>
      <w:r w:rsidR="00CB2A44">
        <w:rPr>
          <w:rFonts w:ascii="Myriad Pro" w:hAnsi="Myriad Pro" w:cs="Arial"/>
          <w:color w:val="000000"/>
          <w:sz w:val="20"/>
          <w:szCs w:val="20"/>
        </w:rPr>
        <w:t xml:space="preserve"> poszczególne osoby wchodzące w skład zespołu</w:t>
      </w:r>
      <w:r w:rsidRPr="008F37AF">
        <w:rPr>
          <w:rFonts w:ascii="Myriad Pro" w:hAnsi="Myriad Pro" w:cs="Arial"/>
          <w:color w:val="000000"/>
          <w:sz w:val="20"/>
          <w:szCs w:val="20"/>
        </w:rPr>
        <w:t>:</w:t>
      </w:r>
    </w:p>
    <w:p w:rsidR="00A76179" w:rsidRDefault="00CB2A44" w:rsidP="00A761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/>
        </w:rPr>
      </w:pPr>
      <w:r>
        <w:rPr>
          <w:rFonts w:ascii="Myriad Pro" w:hAnsi="Myriad Pro" w:cs="Arial"/>
          <w:color w:val="000000"/>
          <w:sz w:val="20"/>
          <w:szCs w:val="20"/>
          <w:lang w:val="pl-PL"/>
        </w:rPr>
        <w:t>K</w:t>
      </w:r>
      <w:r w:rsidR="00B772BC">
        <w:rPr>
          <w:rFonts w:ascii="Myriad Pro" w:hAnsi="Myriad Pro" w:cs="Arial"/>
          <w:color w:val="000000"/>
          <w:sz w:val="20"/>
          <w:szCs w:val="20"/>
          <w:lang w:val="pl-PL"/>
        </w:rPr>
        <w:t>oordynator</w:t>
      </w:r>
      <w:bookmarkStart w:id="0" w:name="_GoBack"/>
      <w:bookmarkEnd w:id="0"/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 – jest autorem lub współautorem: </w:t>
      </w:r>
    </w:p>
    <w:p w:rsidR="00CB2A44" w:rsidRDefault="00CB2A44" w:rsidP="00CB2A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/>
        </w:rPr>
      </w:pP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1- 4 prognoz </w:t>
      </w:r>
      <w:r w:rsidRPr="00CB2A44">
        <w:rPr>
          <w:rFonts w:ascii="Myriad Pro" w:hAnsi="Myriad Pro" w:cs="Arial"/>
          <w:color w:val="000000"/>
          <w:sz w:val="20"/>
          <w:szCs w:val="20"/>
          <w:lang w:val="pl-PL"/>
        </w:rPr>
        <w:t>oceny oddziaływania na środowisko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 – 5 pkt </w:t>
      </w:r>
    </w:p>
    <w:p w:rsidR="00CB2A44" w:rsidRDefault="00CB2A44" w:rsidP="00CB2A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/>
        </w:rPr>
      </w:pP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5 i więcej prognoz </w:t>
      </w:r>
      <w:r w:rsidRPr="00CB2A44">
        <w:rPr>
          <w:rFonts w:ascii="Myriad Pro" w:hAnsi="Myriad Pro" w:cs="Arial"/>
          <w:color w:val="000000"/>
          <w:sz w:val="20"/>
          <w:szCs w:val="20"/>
          <w:lang w:val="pl-PL"/>
        </w:rPr>
        <w:t>oceny oddziaływania na środowisko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 – 10 pkt</w:t>
      </w:r>
    </w:p>
    <w:p w:rsidR="0033002F" w:rsidRPr="0033002F" w:rsidRDefault="00032DBA" w:rsidP="0033002F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>
        <w:rPr>
          <w:rFonts w:ascii="Myriad Pro" w:hAnsi="Myriad Pro" w:cs="Arial"/>
          <w:color w:val="000000"/>
          <w:sz w:val="20"/>
          <w:szCs w:val="20"/>
        </w:rPr>
        <w:t xml:space="preserve">Przedmiotem prognoz muszą być dokumenty zrealizowane w okresie ostatnich </w:t>
      </w:r>
      <w:r w:rsidR="00567BF4">
        <w:rPr>
          <w:rFonts w:ascii="Myriad Pro" w:hAnsi="Myriad Pro" w:cs="Arial"/>
          <w:color w:val="000000"/>
          <w:sz w:val="20"/>
          <w:szCs w:val="20"/>
        </w:rPr>
        <w:t>10</w:t>
      </w:r>
      <w:r>
        <w:rPr>
          <w:rFonts w:ascii="Myriad Pro" w:hAnsi="Myriad Pro" w:cs="Arial"/>
          <w:color w:val="000000"/>
          <w:sz w:val="20"/>
          <w:szCs w:val="20"/>
        </w:rPr>
        <w:t xml:space="preserve"> lat przed terminem składania ofert,</w:t>
      </w:r>
      <w:r w:rsidRPr="0033002F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Pr="007E3846">
        <w:rPr>
          <w:rFonts w:ascii="Myriad Pro" w:hAnsi="Myriad Pro" w:cs="Arial"/>
          <w:color w:val="000000"/>
          <w:sz w:val="20"/>
          <w:szCs w:val="20"/>
        </w:rPr>
        <w:t xml:space="preserve">o których mowa w art. 46 lub 47 ustawy z dnia 3 października 2008 r. o udostępnianiu informacji o środowisku i jego ochronie, udziale społeczeństwa w ochronie środowiska oraz o ocenach oddziaływania na środowisko </w:t>
      </w:r>
      <w:r w:rsidR="000B2AB8" w:rsidRPr="007E3846">
        <w:rPr>
          <w:rFonts w:ascii="Myriad Pro" w:hAnsi="Myriad Pro" w:cs="Arial"/>
          <w:color w:val="000000"/>
          <w:sz w:val="20"/>
          <w:szCs w:val="20"/>
        </w:rPr>
        <w:t>(Dz.</w:t>
      </w:r>
      <w:r w:rsidR="000B2AB8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0B2AB8" w:rsidRPr="007E3846">
        <w:rPr>
          <w:rFonts w:ascii="Myriad Pro" w:hAnsi="Myriad Pro" w:cs="Arial"/>
          <w:color w:val="000000"/>
          <w:sz w:val="20"/>
          <w:szCs w:val="20"/>
        </w:rPr>
        <w:t xml:space="preserve">U z </w:t>
      </w:r>
      <w:r w:rsidR="000B2AB8">
        <w:rPr>
          <w:rFonts w:ascii="Myriad Pro" w:hAnsi="Myriad Pro" w:cs="Arial"/>
          <w:color w:val="000000"/>
          <w:sz w:val="20"/>
          <w:szCs w:val="20"/>
        </w:rPr>
        <w:t>2016</w:t>
      </w:r>
      <w:r w:rsidR="000B2AB8" w:rsidRPr="007E3846">
        <w:rPr>
          <w:rFonts w:ascii="Myriad Pro" w:hAnsi="Myriad Pro" w:cs="Arial"/>
          <w:color w:val="000000"/>
          <w:sz w:val="20"/>
          <w:szCs w:val="20"/>
        </w:rPr>
        <w:t>,</w:t>
      </w:r>
      <w:r w:rsidR="000B2AB8">
        <w:rPr>
          <w:rFonts w:ascii="Myriad Pro" w:hAnsi="Myriad Pro" w:cs="Arial"/>
          <w:color w:val="000000"/>
          <w:sz w:val="20"/>
          <w:szCs w:val="20"/>
        </w:rPr>
        <w:t xml:space="preserve"> poz. 353 ze zm.).</w:t>
      </w:r>
    </w:p>
    <w:p w:rsidR="007C0413" w:rsidRPr="007B7296" w:rsidRDefault="00CB2A44" w:rsidP="007B729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Myriad Pro" w:hAnsi="Myriad Pro" w:cs="Arial"/>
          <w:color w:val="000000"/>
          <w:sz w:val="20"/>
          <w:szCs w:val="20"/>
          <w:lang w:val="pl-PL"/>
        </w:rPr>
      </w:pPr>
      <w:r w:rsidRPr="007B7296">
        <w:rPr>
          <w:rFonts w:ascii="Myriad Pro" w:hAnsi="Myriad Pro" w:cs="Arial"/>
          <w:color w:val="000000"/>
          <w:sz w:val="20"/>
          <w:szCs w:val="20"/>
          <w:lang w:val="pl-PL"/>
        </w:rPr>
        <w:t>Ekspert</w:t>
      </w:r>
      <w:r w:rsidR="008A00CC" w:rsidRPr="007B7296">
        <w:rPr>
          <w:rFonts w:ascii="Myriad Pro" w:hAnsi="Myriad Pro" w:cs="Arial"/>
          <w:color w:val="000000"/>
          <w:sz w:val="20"/>
          <w:szCs w:val="20"/>
          <w:lang w:val="pl-PL"/>
        </w:rPr>
        <w:t>, będący</w:t>
      </w:r>
      <w:r w:rsidR="006C3FB3" w:rsidRPr="007B7296">
        <w:rPr>
          <w:rFonts w:ascii="Myriad Pro" w:hAnsi="Myriad Pro" w:cs="Arial"/>
          <w:color w:val="000000"/>
          <w:sz w:val="20"/>
          <w:szCs w:val="20"/>
          <w:lang w:val="pl-PL"/>
        </w:rPr>
        <w:t xml:space="preserve"> </w:t>
      </w:r>
      <w:r w:rsidRPr="007B7296">
        <w:rPr>
          <w:rFonts w:ascii="Myriad Pro" w:hAnsi="Myriad Pro" w:cs="Arial"/>
          <w:color w:val="000000"/>
          <w:sz w:val="20"/>
          <w:szCs w:val="20"/>
          <w:lang w:val="pl-PL"/>
        </w:rPr>
        <w:t>współautorem</w:t>
      </w:r>
      <w:r w:rsidR="008A00CC" w:rsidRPr="007B7296">
        <w:rPr>
          <w:rFonts w:ascii="Myriad Pro" w:hAnsi="Myriad Pro" w:cs="Arial"/>
          <w:color w:val="000000"/>
          <w:sz w:val="20"/>
          <w:szCs w:val="20"/>
          <w:lang w:val="pl-PL"/>
        </w:rPr>
        <w:t xml:space="preserve"> prognoz oddziaływania na środowisko </w:t>
      </w:r>
      <w:r w:rsidR="007B7296" w:rsidRPr="007B7296">
        <w:rPr>
          <w:rFonts w:ascii="Myriad Pro" w:hAnsi="Myriad Pro" w:cs="Arial"/>
          <w:color w:val="000000"/>
          <w:sz w:val="20"/>
          <w:szCs w:val="20"/>
          <w:lang w:val="pl-PL"/>
        </w:rPr>
        <w:t>d</w:t>
      </w:r>
      <w:r w:rsidR="007B7296">
        <w:rPr>
          <w:rFonts w:ascii="Myriad Pro" w:hAnsi="Myriad Pro" w:cs="Arial"/>
          <w:color w:val="000000"/>
          <w:sz w:val="20"/>
          <w:szCs w:val="20"/>
          <w:lang w:val="pl-PL"/>
        </w:rPr>
        <w:t>okumentów,</w:t>
      </w:r>
      <w:r w:rsidR="007B7296" w:rsidRPr="007B7296">
        <w:rPr>
          <w:rFonts w:ascii="Myriad Pro" w:hAnsi="Myriad Pro" w:cs="Arial"/>
          <w:color w:val="000000"/>
          <w:sz w:val="20"/>
          <w:szCs w:val="20"/>
          <w:lang w:val="pl-PL"/>
        </w:rPr>
        <w:t xml:space="preserve"> o których mowa w art. 46 lub 47 ustawy z dnia 3 października 2008 r. o udostępnianiu informacji o środowisku i jego ochronie, udziale społeczeństwa w ochronie środowiska oraz o ocenach oddziaływania na środowisko (Dz. </w:t>
      </w:r>
      <w:r w:rsidR="007B7296" w:rsidRPr="007B7296">
        <w:rPr>
          <w:rFonts w:ascii="Myriad Pro" w:hAnsi="Myriad Pro" w:cs="Arial"/>
          <w:color w:val="000000"/>
          <w:sz w:val="20"/>
          <w:szCs w:val="20"/>
        </w:rPr>
        <w:t>U z 2016, poz. 353 ze zm.).</w:t>
      </w:r>
      <w:r w:rsidR="008A00CC" w:rsidRPr="007B7296">
        <w:rPr>
          <w:rFonts w:ascii="Myriad Pro" w:hAnsi="Myriad Pro" w:cs="Arial"/>
          <w:color w:val="000000"/>
          <w:sz w:val="20"/>
          <w:szCs w:val="20"/>
          <w:lang w:val="pl-PL"/>
        </w:rPr>
        <w:t xml:space="preserve"> </w:t>
      </w:r>
    </w:p>
    <w:p w:rsidR="00CB2A44" w:rsidRPr="007C0413" w:rsidRDefault="00CB2A44" w:rsidP="007C041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/>
        </w:rPr>
      </w:pPr>
      <w:r w:rsidRPr="007C0413">
        <w:rPr>
          <w:rFonts w:ascii="Myriad Pro" w:hAnsi="Myriad Pro" w:cs="Arial"/>
          <w:color w:val="000000"/>
          <w:sz w:val="20"/>
          <w:szCs w:val="20"/>
          <w:lang w:val="pl-PL"/>
        </w:rPr>
        <w:t xml:space="preserve">1-2 </w:t>
      </w:r>
      <w:r w:rsidR="00032DBA" w:rsidRPr="007C0413">
        <w:rPr>
          <w:rFonts w:ascii="Myriad Pro" w:hAnsi="Myriad Pro" w:cs="Arial"/>
          <w:color w:val="000000"/>
          <w:sz w:val="20"/>
          <w:szCs w:val="20"/>
          <w:lang w:val="pl-PL"/>
        </w:rPr>
        <w:t xml:space="preserve">prac dotyczących </w:t>
      </w:r>
      <w:r w:rsidR="00D13ED1" w:rsidRPr="007C0413">
        <w:rPr>
          <w:rFonts w:ascii="Myriad Pro" w:hAnsi="Myriad Pro" w:cs="Arial"/>
          <w:color w:val="000000"/>
          <w:sz w:val="20"/>
          <w:szCs w:val="20"/>
          <w:lang w:val="pl-PL"/>
        </w:rPr>
        <w:t xml:space="preserve"> prognoz oddziaływania na środowisko</w:t>
      </w:r>
      <w:r w:rsidRPr="007C0413">
        <w:rPr>
          <w:rFonts w:ascii="Myriad Pro" w:hAnsi="Myriad Pro" w:cs="Arial"/>
          <w:color w:val="000000"/>
          <w:sz w:val="20"/>
          <w:szCs w:val="20"/>
          <w:lang w:val="pl-PL"/>
        </w:rPr>
        <w:t xml:space="preserve"> </w:t>
      </w:r>
      <w:r w:rsidR="0033002F" w:rsidRPr="007C0413">
        <w:rPr>
          <w:rFonts w:ascii="Myriad Pro" w:hAnsi="Myriad Pro" w:cs="Arial"/>
          <w:color w:val="000000"/>
          <w:sz w:val="20"/>
          <w:szCs w:val="20"/>
          <w:lang w:val="pl-PL"/>
        </w:rPr>
        <w:t xml:space="preserve">– </w:t>
      </w:r>
      <w:r w:rsidR="00D13ED1" w:rsidRPr="007C0413">
        <w:rPr>
          <w:rFonts w:ascii="Myriad Pro" w:hAnsi="Myriad Pro" w:cs="Arial"/>
          <w:color w:val="000000"/>
          <w:sz w:val="20"/>
          <w:szCs w:val="20"/>
          <w:lang w:val="pl-PL"/>
        </w:rPr>
        <w:t>3</w:t>
      </w:r>
      <w:r w:rsidR="0033002F" w:rsidRPr="007C0413">
        <w:rPr>
          <w:rFonts w:ascii="Myriad Pro" w:hAnsi="Myriad Pro" w:cs="Arial"/>
          <w:color w:val="000000"/>
          <w:sz w:val="20"/>
          <w:szCs w:val="20"/>
          <w:lang w:val="pl-PL"/>
        </w:rPr>
        <w:t xml:space="preserve"> pkt</w:t>
      </w:r>
    </w:p>
    <w:p w:rsidR="0033002F" w:rsidRDefault="0033002F" w:rsidP="00CB2A4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/>
        </w:rPr>
      </w:pP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3-5 </w:t>
      </w:r>
      <w:r w:rsidR="00032DBA">
        <w:rPr>
          <w:rFonts w:ascii="Myriad Pro" w:hAnsi="Myriad Pro" w:cs="Arial"/>
          <w:color w:val="000000"/>
          <w:sz w:val="20"/>
          <w:szCs w:val="20"/>
          <w:lang w:val="pl-PL"/>
        </w:rPr>
        <w:t xml:space="preserve">prac dotyczących </w:t>
      </w:r>
      <w:r w:rsidR="00D13ED1">
        <w:rPr>
          <w:rFonts w:ascii="Myriad Pro" w:hAnsi="Myriad Pro" w:cs="Arial"/>
          <w:color w:val="000000"/>
          <w:sz w:val="20"/>
          <w:szCs w:val="20"/>
          <w:lang w:val="pl-PL"/>
        </w:rPr>
        <w:t>prognoz oddziaływania na środowisko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– </w:t>
      </w:r>
      <w:r w:rsidR="00490AB5">
        <w:rPr>
          <w:rFonts w:ascii="Myriad Pro" w:hAnsi="Myriad Pro" w:cs="Arial"/>
          <w:color w:val="000000"/>
          <w:sz w:val="20"/>
          <w:szCs w:val="20"/>
          <w:lang w:val="pl-PL"/>
        </w:rPr>
        <w:t xml:space="preserve">5 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>pkt</w:t>
      </w:r>
    </w:p>
    <w:p w:rsidR="0033002F" w:rsidRDefault="0033002F" w:rsidP="00CB2A4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/>
        </w:rPr>
      </w:pP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6 i więcej </w:t>
      </w:r>
      <w:r w:rsidR="00032DBA">
        <w:rPr>
          <w:rFonts w:ascii="Myriad Pro" w:hAnsi="Myriad Pro" w:cs="Arial"/>
          <w:color w:val="000000"/>
          <w:sz w:val="20"/>
          <w:szCs w:val="20"/>
          <w:lang w:val="pl-PL"/>
        </w:rPr>
        <w:t xml:space="preserve">prac dotyczących </w:t>
      </w:r>
      <w:r w:rsidR="00D13ED1">
        <w:rPr>
          <w:rFonts w:ascii="Myriad Pro" w:hAnsi="Myriad Pro" w:cs="Arial"/>
          <w:color w:val="000000"/>
          <w:sz w:val="20"/>
          <w:szCs w:val="20"/>
          <w:lang w:val="pl-PL"/>
        </w:rPr>
        <w:t>prognoz oddziaływania na środowisko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– </w:t>
      </w:r>
      <w:r w:rsidR="002D01E6">
        <w:rPr>
          <w:rFonts w:ascii="Myriad Pro" w:hAnsi="Myriad Pro" w:cs="Arial"/>
          <w:color w:val="000000"/>
          <w:sz w:val="20"/>
          <w:szCs w:val="20"/>
          <w:lang w:val="pl-PL"/>
        </w:rPr>
        <w:t>10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 pkt </w:t>
      </w:r>
    </w:p>
    <w:p w:rsidR="00946DD9" w:rsidRDefault="00567BF4" w:rsidP="005F5CE7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567BF4">
        <w:rPr>
          <w:rFonts w:ascii="Myriad Pro" w:hAnsi="Myriad Pro" w:cs="Arial"/>
          <w:color w:val="000000"/>
          <w:sz w:val="20"/>
          <w:szCs w:val="20"/>
        </w:rPr>
        <w:t>Prace powinny być nie starsze, niż ostatnich 10 lat przed terminem składania ofert.</w:t>
      </w:r>
      <w:r w:rsidR="00946DD9" w:rsidRPr="00946DD9">
        <w:rPr>
          <w:rFonts w:ascii="Myriad Pro" w:hAnsi="Myriad Pro" w:cs="Arial"/>
          <w:color w:val="000000"/>
          <w:sz w:val="20"/>
          <w:szCs w:val="20"/>
        </w:rPr>
        <w:t xml:space="preserve"> </w:t>
      </w:r>
    </w:p>
    <w:p w:rsidR="007C0413" w:rsidRPr="00567BF4" w:rsidRDefault="007C0413" w:rsidP="00567BF4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u w:val="single"/>
        </w:rPr>
      </w:pPr>
      <w:r>
        <w:rPr>
          <w:rFonts w:ascii="Myriad Pro" w:hAnsi="Myriad Pro" w:cs="Arial"/>
          <w:color w:val="000000"/>
          <w:sz w:val="20"/>
          <w:szCs w:val="20"/>
          <w:u w:val="single"/>
        </w:rPr>
        <w:t xml:space="preserve">W przypadku przedstawienia więcej niż 1 eksperta w zakresie </w:t>
      </w:r>
      <w:r w:rsidR="00946DD9">
        <w:rPr>
          <w:rFonts w:ascii="Myriad Pro" w:hAnsi="Myriad Pro" w:cs="Arial"/>
          <w:color w:val="000000"/>
          <w:sz w:val="20"/>
          <w:szCs w:val="20"/>
          <w:u w:val="single"/>
        </w:rPr>
        <w:t xml:space="preserve">współautorstwa wykonania </w:t>
      </w:r>
      <w:r w:rsidR="006C3FB3">
        <w:rPr>
          <w:rFonts w:ascii="Myriad Pro" w:hAnsi="Myriad Pro" w:cs="Arial"/>
          <w:color w:val="000000"/>
          <w:sz w:val="20"/>
          <w:szCs w:val="20"/>
          <w:u w:val="single"/>
        </w:rPr>
        <w:t>prognoz</w:t>
      </w:r>
      <w:r w:rsidR="00946DD9">
        <w:rPr>
          <w:rFonts w:ascii="Myriad Pro" w:hAnsi="Myriad Pro" w:cs="Arial"/>
          <w:color w:val="000000"/>
          <w:sz w:val="20"/>
          <w:szCs w:val="20"/>
          <w:u w:val="single"/>
        </w:rPr>
        <w:t>,</w:t>
      </w:r>
      <w:r>
        <w:rPr>
          <w:rFonts w:ascii="Myriad Pro" w:hAnsi="Myriad Pro" w:cs="Arial"/>
          <w:color w:val="000000"/>
          <w:sz w:val="20"/>
          <w:szCs w:val="20"/>
          <w:u w:val="single"/>
        </w:rPr>
        <w:t xml:space="preserve"> do końcowej oceny zostanie uwzględniony ekspert, który otrzyma największą liczbę punktów. </w:t>
      </w:r>
    </w:p>
    <w:p w:rsidR="0033002F" w:rsidRPr="0033002F" w:rsidRDefault="0033002F" w:rsidP="0033002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/>
        </w:rPr>
      </w:pPr>
      <w:r w:rsidRPr="0033002F">
        <w:rPr>
          <w:rFonts w:ascii="Myriad Pro" w:hAnsi="Myriad Pro" w:cs="Arial"/>
          <w:color w:val="000000"/>
          <w:sz w:val="20"/>
          <w:szCs w:val="20"/>
          <w:lang w:val="pl-PL"/>
        </w:rPr>
        <w:t xml:space="preserve">Ekspert w zakresie transportu </w:t>
      </w:r>
      <w:r w:rsidR="002D01E6" w:rsidRPr="0033002F">
        <w:rPr>
          <w:rFonts w:ascii="Myriad Pro" w:hAnsi="Myriad Pro" w:cs="Arial"/>
          <w:color w:val="000000"/>
          <w:sz w:val="20"/>
          <w:szCs w:val="20"/>
          <w:lang w:val="pl-PL"/>
        </w:rPr>
        <w:t xml:space="preserve"> </w:t>
      </w:r>
      <w:r w:rsidRPr="0033002F">
        <w:rPr>
          <w:rFonts w:ascii="Myriad Pro" w:hAnsi="Myriad Pro" w:cs="Arial"/>
          <w:color w:val="000000"/>
          <w:sz w:val="20"/>
          <w:szCs w:val="20"/>
          <w:lang w:val="pl-PL"/>
        </w:rPr>
        <w:t xml:space="preserve">– jest autorem lub współautorem: </w:t>
      </w:r>
    </w:p>
    <w:p w:rsidR="0033002F" w:rsidRDefault="0033002F" w:rsidP="0033002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/>
        </w:rPr>
      </w:pP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1-2 </w:t>
      </w:r>
      <w:r w:rsidR="00032DBA">
        <w:rPr>
          <w:rFonts w:ascii="Myriad Pro" w:hAnsi="Myriad Pro" w:cs="Arial"/>
          <w:color w:val="000000"/>
          <w:sz w:val="20"/>
          <w:szCs w:val="20"/>
          <w:lang w:val="pl-PL"/>
        </w:rPr>
        <w:t xml:space="preserve">prac dotyczących 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problematyki transportu  – </w:t>
      </w:r>
      <w:r w:rsidR="00703D5D">
        <w:rPr>
          <w:rFonts w:ascii="Myriad Pro" w:hAnsi="Myriad Pro" w:cs="Arial"/>
          <w:color w:val="000000"/>
          <w:sz w:val="20"/>
          <w:szCs w:val="20"/>
          <w:lang w:val="pl-PL"/>
        </w:rPr>
        <w:t>5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 pkt</w:t>
      </w:r>
    </w:p>
    <w:p w:rsidR="0033002F" w:rsidRDefault="0033002F" w:rsidP="0033002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/>
        </w:rPr>
      </w:pP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3-5 </w:t>
      </w:r>
      <w:r w:rsidR="00032DBA">
        <w:rPr>
          <w:rFonts w:ascii="Myriad Pro" w:hAnsi="Myriad Pro" w:cs="Arial"/>
          <w:color w:val="000000"/>
          <w:sz w:val="20"/>
          <w:szCs w:val="20"/>
          <w:lang w:val="pl-PL"/>
        </w:rPr>
        <w:t xml:space="preserve">prac dotyczących 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problematyki transportu  – </w:t>
      </w:r>
      <w:r w:rsidR="00703D5D">
        <w:rPr>
          <w:rFonts w:ascii="Myriad Pro" w:hAnsi="Myriad Pro" w:cs="Arial"/>
          <w:color w:val="000000"/>
          <w:sz w:val="20"/>
          <w:szCs w:val="20"/>
          <w:lang w:val="pl-PL"/>
        </w:rPr>
        <w:t>10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 pkt</w:t>
      </w:r>
    </w:p>
    <w:p w:rsidR="0033002F" w:rsidRDefault="0033002F" w:rsidP="0033002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/>
        </w:rPr>
      </w:pP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6 i więcej </w:t>
      </w:r>
      <w:r w:rsidR="00032DBA">
        <w:rPr>
          <w:rFonts w:ascii="Myriad Pro" w:hAnsi="Myriad Pro" w:cs="Arial"/>
          <w:color w:val="000000"/>
          <w:sz w:val="20"/>
          <w:szCs w:val="20"/>
          <w:lang w:val="pl-PL"/>
        </w:rPr>
        <w:t xml:space="preserve">prac dotyczących 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problematyki transportu  – </w:t>
      </w:r>
      <w:r w:rsidR="002D01E6">
        <w:rPr>
          <w:rFonts w:ascii="Myriad Pro" w:hAnsi="Myriad Pro" w:cs="Arial"/>
          <w:color w:val="000000"/>
          <w:sz w:val="20"/>
          <w:szCs w:val="20"/>
          <w:lang w:val="pl-PL"/>
        </w:rPr>
        <w:t>1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5 pkt </w:t>
      </w:r>
    </w:p>
    <w:p w:rsidR="00B406A2" w:rsidRDefault="00567BF4" w:rsidP="007C0413">
      <w:pPr>
        <w:spacing w:line="360" w:lineRule="auto"/>
        <w:jc w:val="both"/>
        <w:rPr>
          <w:color w:val="1F497D"/>
        </w:rPr>
      </w:pPr>
      <w:r w:rsidRPr="00567BF4">
        <w:rPr>
          <w:rFonts w:ascii="Myriad Pro" w:hAnsi="Myriad Pro" w:cs="Arial"/>
          <w:color w:val="000000"/>
          <w:sz w:val="20"/>
          <w:szCs w:val="20"/>
        </w:rPr>
        <w:t xml:space="preserve">Prace powinny być nie starsze, niż ostatnich 10 lat przed terminem składania ofert. </w:t>
      </w:r>
      <w:r w:rsidRPr="00567BF4">
        <w:rPr>
          <w:rFonts w:ascii="Myriad Pro" w:hAnsi="Myriad Pro" w:cs="Arial"/>
          <w:sz w:val="20"/>
          <w:szCs w:val="20"/>
          <w:u w:val="single"/>
        </w:rPr>
        <w:t>Za prace potwierdzające doświadczenie eksperta w danym zakresie rozumie się prace naukowo-</w:t>
      </w:r>
      <w:r w:rsidRPr="00567BF4">
        <w:rPr>
          <w:rFonts w:ascii="Myriad Pro" w:hAnsi="Myriad Pro" w:cs="Arial"/>
          <w:color w:val="000000"/>
          <w:sz w:val="20"/>
          <w:szCs w:val="20"/>
          <w:u w:val="single"/>
        </w:rPr>
        <w:t>badawcze,</w:t>
      </w:r>
      <w:r w:rsidR="002D01E6">
        <w:rPr>
          <w:rFonts w:ascii="Myriad Pro" w:hAnsi="Myriad Pro" w:cs="Arial"/>
          <w:color w:val="000000"/>
          <w:sz w:val="20"/>
          <w:szCs w:val="20"/>
          <w:u w:val="single"/>
        </w:rPr>
        <w:t xml:space="preserve"> publikacje,</w:t>
      </w:r>
      <w:r w:rsidRPr="00567BF4">
        <w:rPr>
          <w:rFonts w:ascii="Myriad Pro" w:hAnsi="Myriad Pro" w:cs="Arial"/>
          <w:color w:val="000000"/>
          <w:sz w:val="20"/>
          <w:szCs w:val="20"/>
          <w:u w:val="single"/>
        </w:rPr>
        <w:t xml:space="preserve"> ekspertyzy, </w:t>
      </w:r>
      <w:r w:rsidRPr="00567BF4">
        <w:rPr>
          <w:rFonts w:ascii="Myriad Pro" w:hAnsi="Myriad Pro" w:cs="Arial"/>
          <w:color w:val="000000"/>
          <w:sz w:val="20"/>
          <w:szCs w:val="20"/>
          <w:u w:val="single"/>
        </w:rPr>
        <w:lastRenderedPageBreak/>
        <w:t>analizy, badania</w:t>
      </w:r>
      <w:r w:rsidR="002D01E6">
        <w:rPr>
          <w:rFonts w:ascii="Myriad Pro" w:hAnsi="Myriad Pro" w:cs="Arial"/>
          <w:color w:val="000000"/>
          <w:sz w:val="20"/>
          <w:szCs w:val="20"/>
          <w:u w:val="single"/>
        </w:rPr>
        <w:t xml:space="preserve"> dotyczące problematyki transportu </w:t>
      </w:r>
      <w:r w:rsidR="00B406A2">
        <w:rPr>
          <w:rFonts w:ascii="Myriad Pro" w:hAnsi="Myriad Pro"/>
          <w:color w:val="000000"/>
          <w:sz w:val="20"/>
          <w:szCs w:val="20"/>
          <w:u w:val="single"/>
        </w:rPr>
        <w:t>drogowego</w:t>
      </w:r>
      <w:r w:rsidR="00DF5614">
        <w:rPr>
          <w:rFonts w:ascii="Myriad Pro" w:hAnsi="Myriad Pro"/>
          <w:color w:val="000000"/>
          <w:sz w:val="20"/>
          <w:szCs w:val="20"/>
          <w:u w:val="single"/>
        </w:rPr>
        <w:t xml:space="preserve"> lub</w:t>
      </w:r>
      <w:r w:rsidR="00B406A2">
        <w:rPr>
          <w:rFonts w:ascii="Myriad Pro" w:hAnsi="Myriad Pro"/>
          <w:color w:val="000000"/>
          <w:sz w:val="20"/>
          <w:szCs w:val="20"/>
          <w:u w:val="single"/>
        </w:rPr>
        <w:t xml:space="preserve"> kolejowego</w:t>
      </w:r>
      <w:r w:rsidR="00DF5614">
        <w:rPr>
          <w:rFonts w:ascii="Myriad Pro" w:hAnsi="Myriad Pro"/>
          <w:color w:val="000000"/>
          <w:sz w:val="20"/>
          <w:szCs w:val="20"/>
          <w:u w:val="single"/>
        </w:rPr>
        <w:t xml:space="preserve"> lub</w:t>
      </w:r>
      <w:r w:rsidR="00B406A2">
        <w:rPr>
          <w:rFonts w:ascii="Myriad Pro" w:hAnsi="Myriad Pro"/>
          <w:color w:val="000000"/>
          <w:sz w:val="20"/>
          <w:szCs w:val="20"/>
          <w:u w:val="single"/>
        </w:rPr>
        <w:t xml:space="preserve"> morskiego lub wodnego śródlądowego</w:t>
      </w:r>
      <w:r w:rsidR="007C0413">
        <w:rPr>
          <w:rFonts w:ascii="Myriad Pro" w:hAnsi="Myriad Pro"/>
          <w:color w:val="000000"/>
          <w:sz w:val="20"/>
          <w:szCs w:val="20"/>
          <w:u w:val="single"/>
        </w:rPr>
        <w:t>.</w:t>
      </w:r>
    </w:p>
    <w:p w:rsidR="00567BF4" w:rsidRPr="00567BF4" w:rsidRDefault="007C0413" w:rsidP="00B406A2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u w:val="single"/>
        </w:rPr>
      </w:pPr>
      <w:r>
        <w:rPr>
          <w:rFonts w:ascii="Myriad Pro" w:hAnsi="Myriad Pro" w:cs="Arial"/>
          <w:color w:val="000000"/>
          <w:sz w:val="20"/>
          <w:szCs w:val="20"/>
          <w:u w:val="single"/>
        </w:rPr>
        <w:t xml:space="preserve">W przypadku przedstawienia więcej niż 1 eksperta w zakresie transportu do końcowej oceny zostanie uwzględniony ekspert, który otrzyma największą liczbę punktów. </w:t>
      </w:r>
    </w:p>
    <w:p w:rsidR="006C3FB3" w:rsidRDefault="006C3FB3" w:rsidP="00BF55EB">
      <w:p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EC2085" w:rsidRDefault="00BF55EB" w:rsidP="00BF55EB">
      <w:p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>
        <w:rPr>
          <w:rFonts w:ascii="Myriad Pro" w:hAnsi="Myriad Pro" w:cs="Arial"/>
          <w:color w:val="000000"/>
          <w:sz w:val="20"/>
          <w:szCs w:val="20"/>
        </w:rPr>
        <w:t xml:space="preserve">Za kryterium </w:t>
      </w:r>
      <w:r w:rsidRPr="00BF55EB">
        <w:rPr>
          <w:rFonts w:ascii="Myriad Pro" w:hAnsi="Myriad Pro" w:cs="Arial"/>
          <w:b/>
          <w:color w:val="000000"/>
          <w:sz w:val="20"/>
          <w:szCs w:val="20"/>
        </w:rPr>
        <w:t>„</w:t>
      </w:r>
      <w:r w:rsidR="00420ED2">
        <w:rPr>
          <w:rFonts w:ascii="Myriad Pro" w:hAnsi="Myriad Pro" w:cs="Arial"/>
          <w:b/>
          <w:color w:val="000000"/>
          <w:sz w:val="20"/>
          <w:szCs w:val="20"/>
        </w:rPr>
        <w:t>identyfikacja</w:t>
      </w:r>
      <w:r w:rsidRPr="00BF55EB">
        <w:rPr>
          <w:rFonts w:ascii="Myriad Pro" w:hAnsi="Myriad Pro" w:cs="Arial"/>
          <w:b/>
          <w:color w:val="000000"/>
          <w:sz w:val="20"/>
          <w:szCs w:val="20"/>
        </w:rPr>
        <w:t xml:space="preserve"> ryzyka”</w:t>
      </w:r>
      <w:r>
        <w:rPr>
          <w:rFonts w:ascii="Myriad Pro" w:hAnsi="Myriad Pro" w:cs="Arial"/>
          <w:color w:val="000000"/>
          <w:sz w:val="20"/>
          <w:szCs w:val="20"/>
        </w:rPr>
        <w:t xml:space="preserve">  można otrzymać maksymalnie </w:t>
      </w:r>
      <w:r w:rsidR="00D13ED1">
        <w:rPr>
          <w:rFonts w:ascii="Myriad Pro" w:hAnsi="Myriad Pro" w:cs="Arial"/>
          <w:color w:val="000000"/>
          <w:sz w:val="20"/>
          <w:szCs w:val="20"/>
        </w:rPr>
        <w:t>10</w:t>
      </w:r>
      <w:r>
        <w:rPr>
          <w:rFonts w:ascii="Myriad Pro" w:hAnsi="Myriad Pro" w:cs="Arial"/>
          <w:color w:val="000000"/>
          <w:sz w:val="20"/>
          <w:szCs w:val="20"/>
        </w:rPr>
        <w:t xml:space="preserve"> punktów. W ocenie będzie bran</w:t>
      </w:r>
      <w:r w:rsidR="00420ED2">
        <w:rPr>
          <w:rFonts w:ascii="Myriad Pro" w:hAnsi="Myriad Pro" w:cs="Arial"/>
          <w:color w:val="000000"/>
          <w:sz w:val="20"/>
          <w:szCs w:val="20"/>
        </w:rPr>
        <w:t>a pod uwagę identyfikacja ryzyka związanego z realizacją prognozy oraz minimalizacja prawdopodobieństwa wystąpienia zidentyfikowanego ryzyka oraz jego skutków:</w:t>
      </w:r>
    </w:p>
    <w:p w:rsidR="00420ED2" w:rsidRPr="00420ED2" w:rsidRDefault="00420ED2" w:rsidP="00420ED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/>
        </w:rPr>
      </w:pPr>
      <w:r w:rsidRPr="00420ED2">
        <w:rPr>
          <w:rFonts w:ascii="Myriad Pro" w:hAnsi="Myriad Pro" w:cs="Arial"/>
          <w:color w:val="000000"/>
          <w:sz w:val="20"/>
          <w:szCs w:val="20"/>
          <w:lang w:val="pl-PL"/>
        </w:rPr>
        <w:t>wszystkie najważniejsze ryzyka są właściwie zidentyfikowane oraz zapropono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>w</w:t>
      </w:r>
      <w:r w:rsidRPr="00420ED2">
        <w:rPr>
          <w:rFonts w:ascii="Myriad Pro" w:hAnsi="Myriad Pro" w:cs="Arial"/>
          <w:color w:val="000000"/>
          <w:sz w:val="20"/>
          <w:szCs w:val="20"/>
          <w:lang w:val="pl-PL"/>
        </w:rPr>
        <w:t>ane są właściwe sposoby zapobiegania zidentyfikowanego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 r</w:t>
      </w:r>
      <w:r w:rsidRPr="00420ED2">
        <w:rPr>
          <w:rFonts w:ascii="Myriad Pro" w:hAnsi="Myriad Pro" w:cs="Arial"/>
          <w:color w:val="000000"/>
          <w:sz w:val="20"/>
          <w:szCs w:val="20"/>
          <w:lang w:val="pl-PL"/>
        </w:rPr>
        <w:t>yzyka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 i</w:t>
      </w:r>
      <w:r w:rsidRPr="00420ED2">
        <w:rPr>
          <w:rFonts w:ascii="Myriad Pro" w:hAnsi="Myriad Pro" w:cs="Arial"/>
          <w:color w:val="000000"/>
          <w:sz w:val="20"/>
          <w:szCs w:val="20"/>
          <w:lang w:val="pl-PL"/>
        </w:rPr>
        <w:t xml:space="preserve"> minimalizacji skutków jego wystąpienia – </w:t>
      </w:r>
      <w:r w:rsidR="00D13ED1">
        <w:rPr>
          <w:rFonts w:ascii="Myriad Pro" w:hAnsi="Myriad Pro" w:cs="Arial"/>
          <w:color w:val="000000"/>
          <w:sz w:val="20"/>
          <w:szCs w:val="20"/>
          <w:lang w:val="pl-PL"/>
        </w:rPr>
        <w:t>10</w:t>
      </w:r>
      <w:r w:rsidRPr="00420ED2">
        <w:rPr>
          <w:rFonts w:ascii="Myriad Pro" w:hAnsi="Myriad Pro" w:cs="Arial"/>
          <w:color w:val="000000"/>
          <w:sz w:val="20"/>
          <w:szCs w:val="20"/>
          <w:lang w:val="pl-PL"/>
        </w:rPr>
        <w:t xml:space="preserve"> pkt</w:t>
      </w:r>
    </w:p>
    <w:p w:rsidR="00420ED2" w:rsidRDefault="00420ED2" w:rsidP="00420ED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/>
        </w:rPr>
      </w:pPr>
      <w:r w:rsidRPr="00420ED2">
        <w:rPr>
          <w:rFonts w:ascii="Myriad Pro" w:hAnsi="Myriad Pro" w:cs="Arial"/>
          <w:color w:val="000000"/>
          <w:sz w:val="20"/>
          <w:szCs w:val="20"/>
          <w:lang w:val="pl-PL"/>
        </w:rPr>
        <w:t>wszystkie najważniejsze ryzyka są właściwie zidentyfikowane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, ale niewłaściwe są </w:t>
      </w:r>
      <w:r w:rsidRPr="00420ED2">
        <w:rPr>
          <w:rFonts w:ascii="Myriad Pro" w:hAnsi="Myriad Pro" w:cs="Arial"/>
          <w:color w:val="000000"/>
          <w:sz w:val="20"/>
          <w:szCs w:val="20"/>
          <w:lang w:val="pl-PL"/>
        </w:rPr>
        <w:t>sposoby zapobiegania zidentyfikowanego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 r</w:t>
      </w:r>
      <w:r w:rsidRPr="00420ED2">
        <w:rPr>
          <w:rFonts w:ascii="Myriad Pro" w:hAnsi="Myriad Pro" w:cs="Arial"/>
          <w:color w:val="000000"/>
          <w:sz w:val="20"/>
          <w:szCs w:val="20"/>
          <w:lang w:val="pl-PL"/>
        </w:rPr>
        <w:t>yzyka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 lub niewłaściwe są sposoby minimalizacji skutków jego wystąpienia – </w:t>
      </w:r>
      <w:r w:rsidR="00490AB5">
        <w:rPr>
          <w:rFonts w:ascii="Myriad Pro" w:hAnsi="Myriad Pro" w:cs="Arial"/>
          <w:color w:val="000000"/>
          <w:sz w:val="20"/>
          <w:szCs w:val="20"/>
          <w:lang w:val="pl-PL"/>
        </w:rPr>
        <w:t xml:space="preserve">5 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>pkt</w:t>
      </w:r>
    </w:p>
    <w:p w:rsidR="00420ED2" w:rsidRPr="00420ED2" w:rsidRDefault="00EC2085" w:rsidP="00420ED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/>
        </w:rPr>
      </w:pP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najważniejsze ryzyka nie zostały zidentyfikowane lub niewłaściwe są </w:t>
      </w:r>
      <w:r w:rsidRPr="00420ED2">
        <w:rPr>
          <w:rFonts w:ascii="Myriad Pro" w:hAnsi="Myriad Pro" w:cs="Arial"/>
          <w:color w:val="000000"/>
          <w:sz w:val="20"/>
          <w:szCs w:val="20"/>
          <w:lang w:val="pl-PL"/>
        </w:rPr>
        <w:t>sposoby zapobiegania zidentyfikowanego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 r</w:t>
      </w:r>
      <w:r w:rsidRPr="00420ED2">
        <w:rPr>
          <w:rFonts w:ascii="Myriad Pro" w:hAnsi="Myriad Pro" w:cs="Arial"/>
          <w:color w:val="000000"/>
          <w:sz w:val="20"/>
          <w:szCs w:val="20"/>
          <w:lang w:val="pl-PL"/>
        </w:rPr>
        <w:t>yzyka</w:t>
      </w:r>
      <w:r>
        <w:rPr>
          <w:rFonts w:ascii="Myriad Pro" w:hAnsi="Myriad Pro" w:cs="Arial"/>
          <w:color w:val="000000"/>
          <w:sz w:val="20"/>
          <w:szCs w:val="20"/>
          <w:lang w:val="pl-PL"/>
        </w:rPr>
        <w:t xml:space="preserve"> i minimalizacji skutków jego wystąpienia – 0 pkt.</w:t>
      </w:r>
    </w:p>
    <w:p w:rsidR="00420ED2" w:rsidRPr="008F4078" w:rsidRDefault="00420ED2" w:rsidP="00BF55EB">
      <w:p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D40BFD" w:rsidRPr="008F37AF" w:rsidRDefault="00D40BFD" w:rsidP="008F4078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W każdym z podkryteriów </w:t>
      </w:r>
      <w:r w:rsidR="000F4203" w:rsidRPr="008F37AF">
        <w:rPr>
          <w:rFonts w:ascii="Myriad Pro" w:hAnsi="Myriad Pro" w:cs="Arial"/>
          <w:color w:val="000000"/>
          <w:sz w:val="20"/>
          <w:szCs w:val="20"/>
        </w:rPr>
        <w:t xml:space="preserve">jakościowych 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oferta musi uzyskać 30% punktów możliwych do </w:t>
      </w:r>
      <w:r w:rsidR="00D456E7" w:rsidRPr="008F37AF">
        <w:rPr>
          <w:rFonts w:ascii="Myriad Pro" w:hAnsi="Myriad Pro" w:cs="Arial"/>
          <w:color w:val="000000"/>
          <w:sz w:val="20"/>
          <w:szCs w:val="20"/>
        </w:rPr>
        <w:t>otrzym</w:t>
      </w:r>
      <w:r w:rsidRPr="008F37AF">
        <w:rPr>
          <w:rFonts w:ascii="Myriad Pro" w:hAnsi="Myriad Pro" w:cs="Arial"/>
          <w:color w:val="000000"/>
          <w:sz w:val="20"/>
          <w:szCs w:val="20"/>
        </w:rPr>
        <w:t>ania. Jeśli oferta uzyska mniej niż 30% możliwych do otrzymania punktów</w:t>
      </w:r>
      <w:r w:rsidR="001A7FC1" w:rsidRPr="008F37AF">
        <w:rPr>
          <w:rFonts w:ascii="Myriad Pro" w:hAnsi="Myriad Pro" w:cs="Arial"/>
          <w:color w:val="000000"/>
          <w:sz w:val="20"/>
          <w:szCs w:val="20"/>
        </w:rPr>
        <w:t xml:space="preserve"> w danym </w:t>
      </w:r>
      <w:r w:rsidR="00602457" w:rsidRPr="008F37AF">
        <w:rPr>
          <w:rFonts w:ascii="Myriad Pro" w:hAnsi="Myriad Pro" w:cs="Arial"/>
          <w:color w:val="000000"/>
          <w:sz w:val="20"/>
          <w:szCs w:val="20"/>
        </w:rPr>
        <w:t>pod</w:t>
      </w:r>
      <w:r w:rsidR="001A7FC1" w:rsidRPr="008F37AF">
        <w:rPr>
          <w:rFonts w:ascii="Myriad Pro" w:hAnsi="Myriad Pro" w:cs="Arial"/>
          <w:color w:val="000000"/>
          <w:sz w:val="20"/>
          <w:szCs w:val="20"/>
        </w:rPr>
        <w:t>kryterium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, zostanie odrzucona jako niespełniająca wymagań Zamawiającego.  </w:t>
      </w:r>
    </w:p>
    <w:p w:rsidR="005F6D6A" w:rsidRPr="008F37AF" w:rsidRDefault="005F6D6A" w:rsidP="00D725AC">
      <w:pPr>
        <w:numPr>
          <w:ilvl w:val="0"/>
          <w:numId w:val="3"/>
        </w:numPr>
        <w:tabs>
          <w:tab w:val="clear" w:pos="1068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Myriad Pro" w:hAnsi="Myriad Pro" w:cs="Arial"/>
          <w:sz w:val="20"/>
          <w:szCs w:val="20"/>
        </w:rPr>
      </w:pPr>
      <w:r w:rsidRPr="008F37AF">
        <w:rPr>
          <w:rFonts w:ascii="Myriad Pro" w:hAnsi="Myriad Pro" w:cs="Arial"/>
          <w:sz w:val="20"/>
          <w:szCs w:val="20"/>
        </w:rPr>
        <w:t xml:space="preserve">Za najkorzystniejszą zostanie uznana oferta, która </w:t>
      </w:r>
      <w:r w:rsidR="00804FDD" w:rsidRPr="008F37AF">
        <w:rPr>
          <w:rFonts w:ascii="Myriad Pro" w:hAnsi="Myriad Pro" w:cs="Arial"/>
          <w:sz w:val="20"/>
          <w:szCs w:val="20"/>
        </w:rPr>
        <w:t xml:space="preserve">otrzyma </w:t>
      </w:r>
      <w:r w:rsidRPr="008F37AF">
        <w:rPr>
          <w:rFonts w:ascii="Myriad Pro" w:hAnsi="Myriad Pro" w:cs="Arial"/>
          <w:sz w:val="20"/>
          <w:szCs w:val="20"/>
        </w:rPr>
        <w:t xml:space="preserve">najwyższą </w:t>
      </w:r>
      <w:r w:rsidR="00804FDD" w:rsidRPr="008F37AF">
        <w:rPr>
          <w:rFonts w:ascii="Myriad Pro" w:hAnsi="Myriad Pro" w:cs="Arial"/>
          <w:sz w:val="20"/>
          <w:szCs w:val="20"/>
        </w:rPr>
        <w:t>punktację po zsumowaniu punktów przyznanych ofercie w każdym z kryteriów</w:t>
      </w:r>
      <w:r w:rsidRPr="008F37AF">
        <w:rPr>
          <w:rFonts w:ascii="Myriad Pro" w:hAnsi="Myriad Pro" w:cs="Arial"/>
          <w:sz w:val="20"/>
          <w:szCs w:val="20"/>
        </w:rPr>
        <w:t>.</w:t>
      </w:r>
    </w:p>
    <w:p w:rsidR="008A0EC9" w:rsidRPr="008F37AF" w:rsidRDefault="008A0EC9" w:rsidP="00D725AC">
      <w:pPr>
        <w:numPr>
          <w:ilvl w:val="0"/>
          <w:numId w:val="3"/>
        </w:numPr>
        <w:tabs>
          <w:tab w:val="clear" w:pos="1068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Myriad Pro" w:hAnsi="Myriad Pro" w:cs="Arial"/>
          <w:sz w:val="20"/>
          <w:szCs w:val="20"/>
        </w:rPr>
      </w:pPr>
      <w:r w:rsidRPr="008F37AF">
        <w:rPr>
          <w:rFonts w:ascii="Myriad Pro" w:hAnsi="Myriad Pro" w:cs="Arial"/>
          <w:sz w:val="20"/>
          <w:szCs w:val="20"/>
        </w:rPr>
        <w:t xml:space="preserve">W sytuacji, gdy Zamawiający nie będzie mógł dokonać wyboru oferty najkorzystniejszej ze względu na to, że dwie lub więcej ofert przedstawią taką samą liczbę punktów, Zamawiający spośród tych ofert wybiera ofertę z najwyższą liczbą punktów za </w:t>
      </w:r>
      <w:r w:rsidR="00602457" w:rsidRPr="008F37AF">
        <w:rPr>
          <w:rFonts w:ascii="Myriad Pro" w:hAnsi="Myriad Pro" w:cs="Arial"/>
          <w:sz w:val="20"/>
          <w:szCs w:val="20"/>
        </w:rPr>
        <w:t>metodykę</w:t>
      </w:r>
      <w:r w:rsidRPr="008F37AF">
        <w:rPr>
          <w:rFonts w:ascii="Myriad Pro" w:hAnsi="Myriad Pro" w:cs="Arial"/>
          <w:sz w:val="20"/>
          <w:szCs w:val="20"/>
        </w:rPr>
        <w:t xml:space="preserve"> badania, o ile wartość tej oferty mieści się w budżecie Zamawiającego. W sytuacji, gdy dwie lub więcej ofert przedstawiają największą liczbę punktów za</w:t>
      </w:r>
      <w:r w:rsidR="00602457" w:rsidRPr="008F37AF">
        <w:rPr>
          <w:rFonts w:ascii="Myriad Pro" w:hAnsi="Myriad Pro" w:cs="Arial"/>
          <w:sz w:val="20"/>
          <w:szCs w:val="20"/>
        </w:rPr>
        <w:t xml:space="preserve"> metodykę </w:t>
      </w:r>
      <w:r w:rsidRPr="008F37AF">
        <w:rPr>
          <w:rFonts w:ascii="Myriad Pro" w:hAnsi="Myriad Pro" w:cs="Arial"/>
          <w:sz w:val="20"/>
          <w:szCs w:val="20"/>
        </w:rPr>
        <w:t>badania, Zamawiający spośród tych ofert wybiera ofertę z niższą ceną.</w:t>
      </w:r>
    </w:p>
    <w:p w:rsidR="00075995" w:rsidRPr="00EA0E8C" w:rsidRDefault="00075995" w:rsidP="008A0EC9">
      <w:pPr>
        <w:pStyle w:val="Tekstpodstawowy"/>
        <w:tabs>
          <w:tab w:val="left" w:pos="-1276"/>
        </w:tabs>
        <w:spacing w:line="360" w:lineRule="auto"/>
        <w:rPr>
          <w:rFonts w:ascii="Myriad Pro" w:hAnsi="Myriad Pro"/>
          <w:sz w:val="20"/>
          <w:szCs w:val="20"/>
        </w:rPr>
      </w:pPr>
    </w:p>
    <w:sectPr w:rsidR="00075995" w:rsidRPr="00EA0E8C" w:rsidSect="0009186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413" w:rsidRDefault="007C0413">
      <w:r>
        <w:separator/>
      </w:r>
    </w:p>
  </w:endnote>
  <w:endnote w:type="continuationSeparator" w:id="0">
    <w:p w:rsidR="007C0413" w:rsidRDefault="007C0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13" w:rsidRDefault="007C0413" w:rsidP="00092792">
    <w:pPr>
      <w:jc w:val="center"/>
      <w:rPr>
        <w:rFonts w:ascii="Arial" w:hAnsi="Arial" w:cs="Arial"/>
        <w:sz w:val="14"/>
        <w:szCs w:val="14"/>
      </w:rPr>
    </w:pPr>
    <w:r w:rsidRPr="00BC604B">
      <w:rPr>
        <w:rFonts w:ascii="Arial" w:hAnsi="Arial" w:cs="Arial"/>
        <w:sz w:val="14"/>
        <w:szCs w:val="14"/>
      </w:rPr>
      <w:t xml:space="preserve">Projekt finansowany przez Unię Europejską ze środków Europejskiego Funduszu </w:t>
    </w:r>
    <w:r>
      <w:rPr>
        <w:rFonts w:ascii="Arial" w:hAnsi="Arial" w:cs="Arial"/>
        <w:sz w:val="14"/>
        <w:szCs w:val="14"/>
      </w:rPr>
      <w:t>Społecznego</w:t>
    </w:r>
    <w:r w:rsidRPr="00BC604B">
      <w:rPr>
        <w:rFonts w:ascii="Arial" w:hAnsi="Arial" w:cs="Arial"/>
        <w:sz w:val="14"/>
        <w:szCs w:val="14"/>
      </w:rPr>
      <w:t xml:space="preserve"> w ramach Regionalnego Programu Operacyjnego Województwa Zachodniopomorskiego </w:t>
    </w:r>
    <w:r>
      <w:rPr>
        <w:rFonts w:ascii="Arial" w:hAnsi="Arial" w:cs="Arial"/>
        <w:sz w:val="14"/>
        <w:szCs w:val="14"/>
      </w:rPr>
      <w:t>2014-2020</w:t>
    </w:r>
  </w:p>
  <w:p w:rsidR="007C0413" w:rsidRDefault="007C0413" w:rsidP="00092792">
    <w:pPr>
      <w:pStyle w:val="Stopka"/>
      <w:jc w:val="center"/>
    </w:pPr>
    <w:r w:rsidRPr="00C647EC">
      <w:rPr>
        <w:rFonts w:ascii="Arial" w:hAnsi="Arial" w:cs="Arial"/>
        <w:sz w:val="14"/>
        <w:szCs w:val="14"/>
      </w:rPr>
      <w:t xml:space="preserve">Strona </w:t>
    </w:r>
    <w:r w:rsidR="002229C9"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PAGE  \* Arabic  \* MERGEFORMAT</w:instrText>
    </w:r>
    <w:r w:rsidR="002229C9" w:rsidRPr="00C647EC">
      <w:rPr>
        <w:rFonts w:ascii="Arial" w:hAnsi="Arial" w:cs="Arial"/>
        <w:b/>
        <w:sz w:val="14"/>
        <w:szCs w:val="14"/>
      </w:rPr>
      <w:fldChar w:fldCharType="separate"/>
    </w:r>
    <w:r w:rsidR="008E1B78">
      <w:rPr>
        <w:rFonts w:ascii="Arial" w:hAnsi="Arial" w:cs="Arial"/>
        <w:b/>
        <w:noProof/>
        <w:sz w:val="14"/>
        <w:szCs w:val="14"/>
      </w:rPr>
      <w:t>3</w:t>
    </w:r>
    <w:r w:rsidR="002229C9" w:rsidRPr="00C647EC">
      <w:rPr>
        <w:rFonts w:ascii="Arial" w:hAnsi="Arial" w:cs="Arial"/>
        <w:b/>
        <w:sz w:val="14"/>
        <w:szCs w:val="14"/>
      </w:rPr>
      <w:fldChar w:fldCharType="end"/>
    </w:r>
    <w:r w:rsidRPr="00C647EC">
      <w:rPr>
        <w:rFonts w:ascii="Arial" w:hAnsi="Arial" w:cs="Arial"/>
        <w:sz w:val="14"/>
        <w:szCs w:val="14"/>
      </w:rPr>
      <w:t xml:space="preserve"> z </w:t>
    </w:r>
    <w:fldSimple w:instr="NUMPAGES  \* Arabic  \* MERGEFORMAT">
      <w:r w:rsidR="008E1B78" w:rsidRPr="008E1B78">
        <w:rPr>
          <w:rFonts w:ascii="Arial" w:hAnsi="Arial" w:cs="Arial"/>
          <w:b/>
          <w:noProof/>
          <w:sz w:val="14"/>
          <w:szCs w:val="14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413" w:rsidRDefault="007C0413">
      <w:r>
        <w:separator/>
      </w:r>
    </w:p>
  </w:footnote>
  <w:footnote w:type="continuationSeparator" w:id="0">
    <w:p w:rsidR="007C0413" w:rsidRDefault="007C0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13" w:rsidRDefault="007C0413" w:rsidP="00EC2085">
    <w:pPr>
      <w:pStyle w:val="Nagwek"/>
      <w:jc w:val="center"/>
    </w:pPr>
    <w:r>
      <w:rPr>
        <w:noProof/>
      </w:rPr>
      <w:drawing>
        <wp:inline distT="0" distB="0" distL="0" distR="0">
          <wp:extent cx="5267960" cy="574675"/>
          <wp:effectExtent l="19050" t="0" r="8890" b="0"/>
          <wp:docPr id="2" name="Obraz 16" descr="ciąg logotypów_NSS-UE-FStru_RPO-WZ_14-20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ciąg logotypów_NSS-UE-FStru_RPO-WZ_14-20_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57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3530"/>
    <w:multiLevelType w:val="hybridMultilevel"/>
    <w:tmpl w:val="FDCAED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83314"/>
    <w:multiLevelType w:val="hybridMultilevel"/>
    <w:tmpl w:val="969A3C92"/>
    <w:lvl w:ilvl="0" w:tplc="1666A43E">
      <w:start w:val="1"/>
      <w:numFmt w:val="bullet"/>
      <w:lvlText w:val="–"/>
      <w:lvlJc w:val="left"/>
      <w:pPr>
        <w:ind w:left="36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234E10"/>
    <w:multiLevelType w:val="hybridMultilevel"/>
    <w:tmpl w:val="145C904C"/>
    <w:lvl w:ilvl="0" w:tplc="1666A43E">
      <w:start w:val="1"/>
      <w:numFmt w:val="bullet"/>
      <w:lvlText w:val="–"/>
      <w:lvlJc w:val="left"/>
      <w:pPr>
        <w:ind w:left="1068" w:hanging="360"/>
      </w:pPr>
      <w:rPr>
        <w:rFonts w:ascii="Arial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495D76"/>
    <w:multiLevelType w:val="hybridMultilevel"/>
    <w:tmpl w:val="710436E2"/>
    <w:lvl w:ilvl="0" w:tplc="1666A43E">
      <w:start w:val="1"/>
      <w:numFmt w:val="bullet"/>
      <w:lvlText w:val="–"/>
      <w:lvlJc w:val="left"/>
      <w:pPr>
        <w:ind w:left="108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434FA6"/>
    <w:multiLevelType w:val="hybridMultilevel"/>
    <w:tmpl w:val="994224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4261D9"/>
    <w:multiLevelType w:val="hybridMultilevel"/>
    <w:tmpl w:val="392CA8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DE34E3"/>
    <w:multiLevelType w:val="hybridMultilevel"/>
    <w:tmpl w:val="65281956"/>
    <w:lvl w:ilvl="0" w:tplc="1666A43E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112586"/>
    <w:multiLevelType w:val="hybridMultilevel"/>
    <w:tmpl w:val="9872D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DE4BAB"/>
    <w:multiLevelType w:val="hybridMultilevel"/>
    <w:tmpl w:val="6C72C4F6"/>
    <w:lvl w:ilvl="0" w:tplc="BE2ADC3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850BF"/>
    <w:multiLevelType w:val="hybridMultilevel"/>
    <w:tmpl w:val="9748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15A42"/>
    <w:multiLevelType w:val="hybridMultilevel"/>
    <w:tmpl w:val="B2F4C412"/>
    <w:lvl w:ilvl="0" w:tplc="1666A43E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E78C5"/>
    <w:multiLevelType w:val="hybridMultilevel"/>
    <w:tmpl w:val="DAAEC92E"/>
    <w:lvl w:ilvl="0" w:tplc="1666A43E">
      <w:start w:val="1"/>
      <w:numFmt w:val="bullet"/>
      <w:lvlText w:val="–"/>
      <w:lvlJc w:val="left"/>
      <w:pPr>
        <w:ind w:left="108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8776DCE"/>
    <w:multiLevelType w:val="hybridMultilevel"/>
    <w:tmpl w:val="869ED26E"/>
    <w:lvl w:ilvl="0" w:tplc="1666A43E">
      <w:start w:val="1"/>
      <w:numFmt w:val="bullet"/>
      <w:lvlText w:val="–"/>
      <w:lvlJc w:val="left"/>
      <w:pPr>
        <w:ind w:left="108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910224"/>
    <w:multiLevelType w:val="hybridMultilevel"/>
    <w:tmpl w:val="0242EA80"/>
    <w:lvl w:ilvl="0" w:tplc="B3EAA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C726C"/>
    <w:multiLevelType w:val="hybridMultilevel"/>
    <w:tmpl w:val="B3AC5A10"/>
    <w:lvl w:ilvl="0" w:tplc="A65A4A26">
      <w:start w:val="1"/>
      <w:numFmt w:val="lowerLetter"/>
      <w:lvlText w:val="%1)"/>
      <w:lvlJc w:val="left"/>
      <w:pPr>
        <w:ind w:left="632" w:hanging="360"/>
      </w:pPr>
      <w:rPr>
        <w:rFonts w:ascii="Myriad Pro" w:hAnsi="Myriad Pro" w:hint="default"/>
        <w:b w:val="0"/>
        <w:i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352"/>
        </w:tabs>
        <w:ind w:left="1352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5">
    <w:nsid w:val="7F6E6393"/>
    <w:multiLevelType w:val="hybridMultilevel"/>
    <w:tmpl w:val="9F7602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15"/>
  </w:num>
  <w:num w:numId="11">
    <w:abstractNumId w:val="1"/>
  </w:num>
  <w:num w:numId="12">
    <w:abstractNumId w:val="10"/>
  </w:num>
  <w:num w:numId="13">
    <w:abstractNumId w:val="7"/>
  </w:num>
  <w:num w:numId="14">
    <w:abstractNumId w:val="4"/>
  </w:num>
  <w:num w:numId="15">
    <w:abstractNumId w:val="14"/>
  </w:num>
  <w:num w:numId="16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09186C"/>
    <w:rsid w:val="00002BED"/>
    <w:rsid w:val="000100ED"/>
    <w:rsid w:val="0002517E"/>
    <w:rsid w:val="00026AB8"/>
    <w:rsid w:val="00032DBA"/>
    <w:rsid w:val="00075995"/>
    <w:rsid w:val="0009186C"/>
    <w:rsid w:val="00092792"/>
    <w:rsid w:val="00096C8D"/>
    <w:rsid w:val="00097849"/>
    <w:rsid w:val="000A3478"/>
    <w:rsid w:val="000A44A5"/>
    <w:rsid w:val="000B2AB8"/>
    <w:rsid w:val="000B64A9"/>
    <w:rsid w:val="000C5ACC"/>
    <w:rsid w:val="000E6569"/>
    <w:rsid w:val="000F4203"/>
    <w:rsid w:val="001001BF"/>
    <w:rsid w:val="00112FD7"/>
    <w:rsid w:val="00140579"/>
    <w:rsid w:val="001627BF"/>
    <w:rsid w:val="00162CEF"/>
    <w:rsid w:val="00176BA9"/>
    <w:rsid w:val="0018294E"/>
    <w:rsid w:val="00194394"/>
    <w:rsid w:val="001A7FC1"/>
    <w:rsid w:val="001C6131"/>
    <w:rsid w:val="001D4999"/>
    <w:rsid w:val="001E03C3"/>
    <w:rsid w:val="00200653"/>
    <w:rsid w:val="00211536"/>
    <w:rsid w:val="00214BE4"/>
    <w:rsid w:val="00216C9B"/>
    <w:rsid w:val="002229C9"/>
    <w:rsid w:val="0025163C"/>
    <w:rsid w:val="00256991"/>
    <w:rsid w:val="002713E0"/>
    <w:rsid w:val="00277F28"/>
    <w:rsid w:val="0028572C"/>
    <w:rsid w:val="00295859"/>
    <w:rsid w:val="002B263B"/>
    <w:rsid w:val="002B3E61"/>
    <w:rsid w:val="002C79D5"/>
    <w:rsid w:val="002D01E6"/>
    <w:rsid w:val="0030318D"/>
    <w:rsid w:val="003228EC"/>
    <w:rsid w:val="0033002F"/>
    <w:rsid w:val="003304EC"/>
    <w:rsid w:val="00336666"/>
    <w:rsid w:val="003841D6"/>
    <w:rsid w:val="0038574B"/>
    <w:rsid w:val="0039719A"/>
    <w:rsid w:val="003B479C"/>
    <w:rsid w:val="003B783C"/>
    <w:rsid w:val="003E30DB"/>
    <w:rsid w:val="00400856"/>
    <w:rsid w:val="004178A9"/>
    <w:rsid w:val="00420ED2"/>
    <w:rsid w:val="00423455"/>
    <w:rsid w:val="00433AEB"/>
    <w:rsid w:val="00447367"/>
    <w:rsid w:val="00452047"/>
    <w:rsid w:val="004579A4"/>
    <w:rsid w:val="00467F44"/>
    <w:rsid w:val="00473754"/>
    <w:rsid w:val="00476B8F"/>
    <w:rsid w:val="00477C2C"/>
    <w:rsid w:val="00490AB5"/>
    <w:rsid w:val="00490CDF"/>
    <w:rsid w:val="004B49F5"/>
    <w:rsid w:val="004C47AB"/>
    <w:rsid w:val="004C4CBE"/>
    <w:rsid w:val="004E3BC5"/>
    <w:rsid w:val="005077E7"/>
    <w:rsid w:val="005609A7"/>
    <w:rsid w:val="00567BF4"/>
    <w:rsid w:val="005708B0"/>
    <w:rsid w:val="0059651A"/>
    <w:rsid w:val="005A769C"/>
    <w:rsid w:val="005B556A"/>
    <w:rsid w:val="005B7FFD"/>
    <w:rsid w:val="005C21E4"/>
    <w:rsid w:val="005E7FC1"/>
    <w:rsid w:val="005F5CE7"/>
    <w:rsid w:val="005F6A98"/>
    <w:rsid w:val="005F6D6A"/>
    <w:rsid w:val="005F7D34"/>
    <w:rsid w:val="00600FF1"/>
    <w:rsid w:val="00602457"/>
    <w:rsid w:val="00624452"/>
    <w:rsid w:val="00637048"/>
    <w:rsid w:val="006612CB"/>
    <w:rsid w:val="006723CA"/>
    <w:rsid w:val="00685B92"/>
    <w:rsid w:val="00694DFD"/>
    <w:rsid w:val="006A56C5"/>
    <w:rsid w:val="006C3FB3"/>
    <w:rsid w:val="006D2318"/>
    <w:rsid w:val="006E1E36"/>
    <w:rsid w:val="006F2BB4"/>
    <w:rsid w:val="0070027B"/>
    <w:rsid w:val="007025AD"/>
    <w:rsid w:val="00703D5D"/>
    <w:rsid w:val="00705793"/>
    <w:rsid w:val="0070630A"/>
    <w:rsid w:val="007139FD"/>
    <w:rsid w:val="007172BB"/>
    <w:rsid w:val="00720FBA"/>
    <w:rsid w:val="00721BC2"/>
    <w:rsid w:val="007324B5"/>
    <w:rsid w:val="00741FF5"/>
    <w:rsid w:val="007652A8"/>
    <w:rsid w:val="00770336"/>
    <w:rsid w:val="00775C67"/>
    <w:rsid w:val="00792B8B"/>
    <w:rsid w:val="007B2A25"/>
    <w:rsid w:val="007B7296"/>
    <w:rsid w:val="007C0413"/>
    <w:rsid w:val="007E14A2"/>
    <w:rsid w:val="00804FDD"/>
    <w:rsid w:val="008106E0"/>
    <w:rsid w:val="008406AD"/>
    <w:rsid w:val="008472EF"/>
    <w:rsid w:val="00880004"/>
    <w:rsid w:val="00893F01"/>
    <w:rsid w:val="008A00CC"/>
    <w:rsid w:val="008A0EC9"/>
    <w:rsid w:val="008B1294"/>
    <w:rsid w:val="008D20DA"/>
    <w:rsid w:val="008E1B78"/>
    <w:rsid w:val="008E7E39"/>
    <w:rsid w:val="008F0070"/>
    <w:rsid w:val="008F0851"/>
    <w:rsid w:val="008F37AF"/>
    <w:rsid w:val="008F4078"/>
    <w:rsid w:val="0093061B"/>
    <w:rsid w:val="009341A5"/>
    <w:rsid w:val="00936624"/>
    <w:rsid w:val="00946DD9"/>
    <w:rsid w:val="00955A5F"/>
    <w:rsid w:val="009631EA"/>
    <w:rsid w:val="00970EFE"/>
    <w:rsid w:val="00973408"/>
    <w:rsid w:val="00996814"/>
    <w:rsid w:val="009A6E8B"/>
    <w:rsid w:val="009B0926"/>
    <w:rsid w:val="009C1ADA"/>
    <w:rsid w:val="009C2630"/>
    <w:rsid w:val="009C31E1"/>
    <w:rsid w:val="009D792D"/>
    <w:rsid w:val="009F781B"/>
    <w:rsid w:val="00A4566C"/>
    <w:rsid w:val="00A76179"/>
    <w:rsid w:val="00AA13DD"/>
    <w:rsid w:val="00AA7D12"/>
    <w:rsid w:val="00AC7E4D"/>
    <w:rsid w:val="00AD1767"/>
    <w:rsid w:val="00AD4B7A"/>
    <w:rsid w:val="00AE04E9"/>
    <w:rsid w:val="00AE1427"/>
    <w:rsid w:val="00AF1FF7"/>
    <w:rsid w:val="00B00064"/>
    <w:rsid w:val="00B04350"/>
    <w:rsid w:val="00B217FA"/>
    <w:rsid w:val="00B224F1"/>
    <w:rsid w:val="00B274D9"/>
    <w:rsid w:val="00B312F4"/>
    <w:rsid w:val="00B31A12"/>
    <w:rsid w:val="00B406A2"/>
    <w:rsid w:val="00B471AD"/>
    <w:rsid w:val="00B52FDB"/>
    <w:rsid w:val="00B628FE"/>
    <w:rsid w:val="00B70C25"/>
    <w:rsid w:val="00B772BC"/>
    <w:rsid w:val="00B85D2A"/>
    <w:rsid w:val="00BB782C"/>
    <w:rsid w:val="00BC089D"/>
    <w:rsid w:val="00BC13C7"/>
    <w:rsid w:val="00BF3768"/>
    <w:rsid w:val="00BF55EB"/>
    <w:rsid w:val="00C0721B"/>
    <w:rsid w:val="00C252CC"/>
    <w:rsid w:val="00C26E5A"/>
    <w:rsid w:val="00C331DA"/>
    <w:rsid w:val="00C4614F"/>
    <w:rsid w:val="00C55454"/>
    <w:rsid w:val="00C76515"/>
    <w:rsid w:val="00C946AD"/>
    <w:rsid w:val="00CA31E4"/>
    <w:rsid w:val="00CB2A44"/>
    <w:rsid w:val="00CB3976"/>
    <w:rsid w:val="00CC2EC7"/>
    <w:rsid w:val="00CC3C41"/>
    <w:rsid w:val="00CC698C"/>
    <w:rsid w:val="00CD036B"/>
    <w:rsid w:val="00CD0D07"/>
    <w:rsid w:val="00D00622"/>
    <w:rsid w:val="00D13ED1"/>
    <w:rsid w:val="00D34A64"/>
    <w:rsid w:val="00D3682D"/>
    <w:rsid w:val="00D40BFD"/>
    <w:rsid w:val="00D456E7"/>
    <w:rsid w:val="00D57D7D"/>
    <w:rsid w:val="00D67D3F"/>
    <w:rsid w:val="00D7200C"/>
    <w:rsid w:val="00D725AC"/>
    <w:rsid w:val="00D73AF2"/>
    <w:rsid w:val="00D76ED0"/>
    <w:rsid w:val="00D83C50"/>
    <w:rsid w:val="00DF5614"/>
    <w:rsid w:val="00E10288"/>
    <w:rsid w:val="00E148D2"/>
    <w:rsid w:val="00E36D1A"/>
    <w:rsid w:val="00E57699"/>
    <w:rsid w:val="00E579BA"/>
    <w:rsid w:val="00E65FE0"/>
    <w:rsid w:val="00E7141F"/>
    <w:rsid w:val="00E73A90"/>
    <w:rsid w:val="00E826EE"/>
    <w:rsid w:val="00EA0E8C"/>
    <w:rsid w:val="00EA39F9"/>
    <w:rsid w:val="00EA7FCF"/>
    <w:rsid w:val="00EC2085"/>
    <w:rsid w:val="00EF0BDD"/>
    <w:rsid w:val="00EF0C41"/>
    <w:rsid w:val="00EF277E"/>
    <w:rsid w:val="00F04F8E"/>
    <w:rsid w:val="00F076A9"/>
    <w:rsid w:val="00F223DB"/>
    <w:rsid w:val="00F262C1"/>
    <w:rsid w:val="00F3034B"/>
    <w:rsid w:val="00F31D55"/>
    <w:rsid w:val="00F341B3"/>
    <w:rsid w:val="00F427FD"/>
    <w:rsid w:val="00F42CC5"/>
    <w:rsid w:val="00F81D0E"/>
    <w:rsid w:val="00F87F77"/>
    <w:rsid w:val="00F9221B"/>
    <w:rsid w:val="00F9476E"/>
    <w:rsid w:val="00F9708C"/>
    <w:rsid w:val="00F97556"/>
    <w:rsid w:val="00FA4765"/>
    <w:rsid w:val="00FE2A7B"/>
    <w:rsid w:val="00FF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18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reść"/>
    <w:basedOn w:val="Normalny"/>
    <w:link w:val="TekstpodstawowyZnak"/>
    <w:rsid w:val="0009186C"/>
    <w:pPr>
      <w:ind w:right="-142"/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aliases w:val="Treść Znak"/>
    <w:link w:val="Tekstpodstawowy"/>
    <w:rsid w:val="0009186C"/>
    <w:rPr>
      <w:rFonts w:ascii="Arial" w:hAnsi="Arial" w:cs="Arial"/>
      <w:sz w:val="22"/>
      <w:szCs w:val="22"/>
      <w:lang w:val="pl-PL" w:eastAsia="pl-PL" w:bidi="ar-SA"/>
    </w:rPr>
  </w:style>
  <w:style w:type="paragraph" w:styleId="Tekstdymka">
    <w:name w:val="Balloon Text"/>
    <w:basedOn w:val="Normalny"/>
    <w:semiHidden/>
    <w:rsid w:val="00F04F8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1001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001BF"/>
    <w:rPr>
      <w:sz w:val="20"/>
      <w:szCs w:val="20"/>
    </w:rPr>
  </w:style>
  <w:style w:type="paragraph" w:styleId="Nagwek">
    <w:name w:val="header"/>
    <w:basedOn w:val="Normalny"/>
    <w:rsid w:val="0007599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75995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AF1FF7"/>
    <w:rPr>
      <w:sz w:val="20"/>
      <w:szCs w:val="20"/>
    </w:rPr>
  </w:style>
  <w:style w:type="character" w:styleId="Odwoanieprzypisukocowego">
    <w:name w:val="endnote reference"/>
    <w:semiHidden/>
    <w:rsid w:val="00AF1FF7"/>
    <w:rPr>
      <w:vertAlign w:val="superscript"/>
    </w:rPr>
  </w:style>
  <w:style w:type="paragraph" w:styleId="Tematkomentarza">
    <w:name w:val="annotation subject"/>
    <w:basedOn w:val="Tekstkomentarza"/>
    <w:next w:val="Tekstkomentarza"/>
    <w:semiHidden/>
    <w:rsid w:val="004E3BC5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A4566C"/>
    <w:pPr>
      <w:ind w:left="720" w:firstLine="36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TekstkomentarzaZnak">
    <w:name w:val="Tekst komentarza Znak"/>
    <w:link w:val="Tekstkomentarza"/>
    <w:semiHidden/>
    <w:rsid w:val="00A4566C"/>
    <w:rPr>
      <w:lang w:val="pl-PL"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5077E7"/>
    <w:rPr>
      <w:rFonts w:ascii="Calibri" w:hAnsi="Calibr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83BB9-D4CE-4128-925B-214F23FF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………… w sprawie wszczęcia postępowania o udzielenie zamówienia publicznego prowadzonego w trybie dialogu konkurencyjnego o wartości poniżej 206 000 euro na wykonanie badania ewaluacyjnego „Ocena efektów wspierania środkami ZPORR</vt:lpstr>
    </vt:vector>
  </TitlesOfParts>
  <Company>Województwo Zachodniopomorskie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………… w sprawie wszczęcia postępowania o udzielenie zamówienia publicznego prowadzonego w trybie dialogu konkurencyjnego o wartości poniżej 206 000 euro na wykonanie badania ewaluacyjnego „Ocena efektów wspierania środkami ZPORR</dc:title>
  <dc:creator>Monika Lemke</dc:creator>
  <cp:lastModifiedBy>mlemke</cp:lastModifiedBy>
  <cp:revision>2</cp:revision>
  <cp:lastPrinted>2015-04-20T09:53:00Z</cp:lastPrinted>
  <dcterms:created xsi:type="dcterms:W3CDTF">2016-09-19T09:10:00Z</dcterms:created>
  <dcterms:modified xsi:type="dcterms:W3CDTF">2016-09-19T09:10:00Z</dcterms:modified>
</cp:coreProperties>
</file>