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A9E" w:rsidRPr="003A3A9E" w:rsidRDefault="003A3A9E" w:rsidP="003A3A9E">
      <w:pPr>
        <w:jc w:val="right"/>
        <w:rPr>
          <w:rFonts w:ascii="Arial" w:hAnsi="Arial" w:cs="Arial"/>
          <w:sz w:val="20"/>
          <w:szCs w:val="20"/>
        </w:rPr>
      </w:pPr>
      <w:r w:rsidRPr="003A3A9E">
        <w:rPr>
          <w:rFonts w:ascii="Arial" w:hAnsi="Arial" w:cs="Arial"/>
          <w:sz w:val="20"/>
          <w:szCs w:val="20"/>
        </w:rPr>
        <w:t xml:space="preserve">Załącznik Nr 2 do uchwały Nr </w:t>
      </w:r>
      <w:r>
        <w:rPr>
          <w:rFonts w:ascii="Arial" w:hAnsi="Arial" w:cs="Arial"/>
          <w:sz w:val="20"/>
          <w:szCs w:val="20"/>
        </w:rPr>
        <w:t>XLV/540/23</w:t>
      </w:r>
    </w:p>
    <w:p w:rsidR="003A3A9E" w:rsidRPr="003A3A9E" w:rsidRDefault="003A3A9E" w:rsidP="003A3A9E">
      <w:pPr>
        <w:jc w:val="right"/>
        <w:rPr>
          <w:rFonts w:ascii="Arial" w:hAnsi="Arial" w:cs="Arial"/>
          <w:sz w:val="20"/>
          <w:szCs w:val="20"/>
        </w:rPr>
      </w:pPr>
      <w:r w:rsidRPr="003A3A9E">
        <w:rPr>
          <w:rFonts w:ascii="Arial" w:hAnsi="Arial" w:cs="Arial"/>
          <w:sz w:val="20"/>
          <w:szCs w:val="20"/>
        </w:rPr>
        <w:t>Sejmiku Województwa Zachodniopomorskiego</w:t>
      </w:r>
    </w:p>
    <w:p w:rsidR="008D34F8" w:rsidRPr="003A3A9E" w:rsidRDefault="003A3A9E" w:rsidP="003A3A9E">
      <w:pPr>
        <w:tabs>
          <w:tab w:val="num" w:pos="360"/>
        </w:tabs>
        <w:autoSpaceDE/>
        <w:autoSpaceDN/>
        <w:adjustRightInd/>
        <w:spacing w:after="120"/>
        <w:jc w:val="right"/>
        <w:rPr>
          <w:rFonts w:ascii="Arial" w:hAnsi="Arial" w:cs="Arial"/>
          <w:sz w:val="20"/>
          <w:szCs w:val="20"/>
        </w:rPr>
      </w:pPr>
      <w:r w:rsidRPr="003A3A9E">
        <w:rPr>
          <w:rFonts w:ascii="Arial" w:hAnsi="Arial" w:cs="Arial"/>
          <w:sz w:val="20"/>
          <w:szCs w:val="20"/>
        </w:rPr>
        <w:t xml:space="preserve">z dnia </w:t>
      </w:r>
      <w:r>
        <w:rPr>
          <w:rFonts w:ascii="Arial" w:hAnsi="Arial" w:cs="Arial"/>
          <w:sz w:val="20"/>
          <w:szCs w:val="20"/>
        </w:rPr>
        <w:t>14 września</w:t>
      </w:r>
      <w:bookmarkStart w:id="0" w:name="_GoBack"/>
      <w:bookmarkEnd w:id="0"/>
      <w:r w:rsidRPr="003A3A9E">
        <w:rPr>
          <w:rFonts w:ascii="Arial" w:hAnsi="Arial" w:cs="Arial"/>
          <w:sz w:val="20"/>
          <w:szCs w:val="20"/>
        </w:rPr>
        <w:t xml:space="preserve"> 2023 r.</w:t>
      </w:r>
    </w:p>
    <w:p w:rsidR="003A3A9E" w:rsidRDefault="003A3A9E" w:rsidP="003A3A9E">
      <w:pPr>
        <w:autoSpaceDE/>
        <w:autoSpaceDN/>
        <w:adjustRightInd/>
        <w:spacing w:before="120" w:after="120"/>
        <w:rPr>
          <w:rFonts w:ascii="Arial" w:hAnsi="Arial" w:cs="Arial"/>
          <w:sz w:val="20"/>
          <w:szCs w:val="20"/>
        </w:rPr>
      </w:pPr>
    </w:p>
    <w:p w:rsidR="003A3A9E" w:rsidRDefault="003A3A9E" w:rsidP="003A3A9E">
      <w:pPr>
        <w:autoSpaceDE/>
        <w:autoSpaceDN/>
        <w:adjustRightInd/>
        <w:spacing w:before="120" w:after="120"/>
        <w:rPr>
          <w:rFonts w:ascii="Arial" w:hAnsi="Arial" w:cs="Arial"/>
          <w:sz w:val="20"/>
          <w:szCs w:val="20"/>
        </w:rPr>
      </w:pPr>
    </w:p>
    <w:p w:rsidR="00510E8A" w:rsidRPr="003A3A9E" w:rsidRDefault="00510E8A" w:rsidP="003A3A9E">
      <w:pPr>
        <w:autoSpaceDE/>
        <w:autoSpaceDN/>
        <w:adjustRightInd/>
        <w:spacing w:before="120" w:after="120"/>
        <w:rPr>
          <w:rFonts w:ascii="Arial" w:hAnsi="Arial" w:cs="Arial"/>
          <w:sz w:val="20"/>
          <w:szCs w:val="20"/>
        </w:rPr>
      </w:pPr>
      <w:r w:rsidRPr="003A3A9E">
        <w:rPr>
          <w:rFonts w:ascii="Arial" w:hAnsi="Arial" w:cs="Arial"/>
          <w:sz w:val="20"/>
          <w:szCs w:val="20"/>
        </w:rPr>
        <w:t>Na podstawie art. 91 ust. 9c ustawy z dnia 27 kwietnia 2001</w:t>
      </w:r>
      <w:r w:rsidR="007B651C" w:rsidRPr="003A3A9E">
        <w:rPr>
          <w:rFonts w:ascii="Arial" w:hAnsi="Arial" w:cs="Arial"/>
          <w:sz w:val="20"/>
          <w:szCs w:val="20"/>
        </w:rPr>
        <w:t xml:space="preserve"> </w:t>
      </w:r>
      <w:r w:rsidRPr="003A3A9E">
        <w:rPr>
          <w:rFonts w:ascii="Arial" w:hAnsi="Arial" w:cs="Arial"/>
          <w:sz w:val="20"/>
          <w:szCs w:val="20"/>
        </w:rPr>
        <w:t xml:space="preserve">r. Prawo ochrony środowiska </w:t>
      </w:r>
      <w:r w:rsidR="007B651C" w:rsidRPr="003A3A9E">
        <w:rPr>
          <w:rFonts w:ascii="Arial" w:hAnsi="Arial" w:cs="Arial"/>
          <w:sz w:val="20"/>
          <w:szCs w:val="20"/>
        </w:rPr>
        <w:br/>
      </w:r>
      <w:r w:rsidRPr="003A3A9E">
        <w:rPr>
          <w:rFonts w:ascii="Arial" w:hAnsi="Arial" w:cs="Arial"/>
          <w:sz w:val="20"/>
          <w:szCs w:val="20"/>
        </w:rPr>
        <w:t xml:space="preserve">(Dz. U. z 2022 r. poz. 2556 z późń. zm.) w przypadku stref, dla których programy ochrony powietrza zostały uchwalone, a poziomy dopuszczalne lub docelowe lub pułap stężenia ekspozycji są przekraczane w kolejnych latach, zarząd województwa jest obowiązany opracować projekt aktualizacji programu w terminie 3 lat od dnia wejścia w życie uchwały sejmiku województwa w sprawie programu ochrony powietrza, określając w nim działania ochronne dla grup ludności wrażliwych </w:t>
      </w:r>
      <w:r w:rsidR="007B651C" w:rsidRPr="003A3A9E">
        <w:rPr>
          <w:rFonts w:ascii="Arial" w:hAnsi="Arial" w:cs="Arial"/>
          <w:sz w:val="20"/>
          <w:szCs w:val="20"/>
        </w:rPr>
        <w:br/>
      </w:r>
      <w:r w:rsidRPr="003A3A9E">
        <w:rPr>
          <w:rFonts w:ascii="Arial" w:hAnsi="Arial" w:cs="Arial"/>
          <w:sz w:val="20"/>
          <w:szCs w:val="20"/>
        </w:rPr>
        <w:t xml:space="preserve">na przekroczenie, obejmujących w szczególności osoby starsze i dzieci. Natomiast </w:t>
      </w:r>
      <w:r w:rsidR="007B651C" w:rsidRPr="003A3A9E">
        <w:rPr>
          <w:rFonts w:ascii="Arial" w:hAnsi="Arial" w:cs="Arial"/>
          <w:sz w:val="20"/>
          <w:szCs w:val="20"/>
        </w:rPr>
        <w:t>s</w:t>
      </w:r>
      <w:r w:rsidRPr="003A3A9E">
        <w:rPr>
          <w:rFonts w:ascii="Arial" w:hAnsi="Arial" w:cs="Arial"/>
          <w:sz w:val="20"/>
          <w:szCs w:val="20"/>
        </w:rPr>
        <w:t>ejmik województwa</w:t>
      </w:r>
      <w:r w:rsidR="007B651C" w:rsidRPr="003A3A9E">
        <w:rPr>
          <w:rFonts w:ascii="Arial" w:hAnsi="Arial" w:cs="Arial"/>
          <w:sz w:val="20"/>
          <w:szCs w:val="20"/>
        </w:rPr>
        <w:t>,</w:t>
      </w:r>
      <w:r w:rsidRPr="003A3A9E">
        <w:rPr>
          <w:rFonts w:ascii="Arial" w:hAnsi="Arial" w:cs="Arial"/>
          <w:sz w:val="20"/>
          <w:szCs w:val="20"/>
        </w:rPr>
        <w:t xml:space="preserve"> w terminie 2 miesięcy od dnia opracowania projektu aktualizacji programu ochrony powietrza</w:t>
      </w:r>
      <w:r w:rsidR="007B651C" w:rsidRPr="003A3A9E">
        <w:rPr>
          <w:rFonts w:ascii="Arial" w:hAnsi="Arial" w:cs="Arial"/>
          <w:sz w:val="20"/>
          <w:szCs w:val="20"/>
        </w:rPr>
        <w:t>,</w:t>
      </w:r>
      <w:r w:rsidRPr="003A3A9E">
        <w:rPr>
          <w:rFonts w:ascii="Arial" w:hAnsi="Arial" w:cs="Arial"/>
          <w:sz w:val="20"/>
          <w:szCs w:val="20"/>
        </w:rPr>
        <w:t xml:space="preserve"> określa, w drodze uchwały, aktualizację programu. </w:t>
      </w:r>
    </w:p>
    <w:p w:rsidR="00510E8A" w:rsidRPr="003A3A9E" w:rsidRDefault="00510E8A" w:rsidP="003963F3">
      <w:pPr>
        <w:autoSpaceDE/>
        <w:autoSpaceDN/>
        <w:adjustRightInd/>
        <w:spacing w:before="120"/>
        <w:rPr>
          <w:rFonts w:ascii="Arial" w:hAnsi="Arial" w:cs="Arial"/>
          <w:sz w:val="20"/>
          <w:szCs w:val="20"/>
        </w:rPr>
      </w:pPr>
      <w:r w:rsidRPr="003A3A9E">
        <w:rPr>
          <w:rFonts w:ascii="Arial" w:hAnsi="Arial" w:cs="Arial"/>
          <w:sz w:val="20"/>
          <w:szCs w:val="20"/>
        </w:rPr>
        <w:t xml:space="preserve">Biorąc pod uwagę, iż roczna ocena jakości powietrza za 2021 r. wykazała, iż w strefie zachodniopomorskiej nadal występują przekroczenia poziomu docelowego </w:t>
      </w:r>
      <w:proofErr w:type="spellStart"/>
      <w:r w:rsidRPr="003A3A9E">
        <w:rPr>
          <w:rFonts w:ascii="Arial" w:hAnsi="Arial" w:cs="Arial"/>
          <w:sz w:val="20"/>
          <w:szCs w:val="20"/>
        </w:rPr>
        <w:t>benzo</w:t>
      </w:r>
      <w:proofErr w:type="spellEnd"/>
      <w:r w:rsidRPr="003A3A9E">
        <w:rPr>
          <w:rFonts w:ascii="Arial" w:hAnsi="Arial" w:cs="Arial"/>
          <w:sz w:val="20"/>
          <w:szCs w:val="20"/>
        </w:rPr>
        <w:t>(a)</w:t>
      </w:r>
      <w:r w:rsidR="001371A4" w:rsidRPr="003A3A9E">
        <w:rPr>
          <w:rFonts w:ascii="Arial" w:hAnsi="Arial" w:cs="Arial"/>
          <w:sz w:val="20"/>
          <w:szCs w:val="20"/>
        </w:rPr>
        <w:t>piranu</w:t>
      </w:r>
      <w:r w:rsidRPr="003A3A9E">
        <w:rPr>
          <w:rFonts w:ascii="Arial" w:hAnsi="Arial" w:cs="Arial"/>
          <w:sz w:val="20"/>
          <w:szCs w:val="20"/>
        </w:rPr>
        <w:t xml:space="preserve"> niezbędnym stało się dokonanie aktualizacji programu przyjętego uchwałą Nr XVI/206/2020 Sejmiku Województwa z dnia 04.06.2020 r.</w:t>
      </w:r>
    </w:p>
    <w:p w:rsidR="00510E8A" w:rsidRPr="003A3A9E" w:rsidRDefault="00510E8A" w:rsidP="003963F3">
      <w:pPr>
        <w:autoSpaceDE/>
        <w:autoSpaceDN/>
        <w:adjustRightInd/>
        <w:spacing w:before="120"/>
        <w:rPr>
          <w:rFonts w:ascii="Arial" w:hAnsi="Arial" w:cs="Arial"/>
          <w:sz w:val="20"/>
          <w:szCs w:val="20"/>
        </w:rPr>
      </w:pPr>
      <w:r w:rsidRPr="003A3A9E">
        <w:rPr>
          <w:rFonts w:ascii="Arial" w:hAnsi="Arial" w:cs="Arial"/>
          <w:sz w:val="20"/>
          <w:szCs w:val="20"/>
        </w:rPr>
        <w:t xml:space="preserve">Podstawą do opracowania aktualizacji Programu ochrony powietrza i planu działań krótkoterminowych są wyniki „Rocznej oceny jakości powietrza w województwie zachodniopomorskim – raport wojewódzki za rok 2021”, przekazane przez Głównego Inspektora Ochrony Środowiska. </w:t>
      </w:r>
    </w:p>
    <w:p w:rsidR="00510E8A" w:rsidRPr="003A3A9E" w:rsidRDefault="00510E8A" w:rsidP="003963F3">
      <w:pPr>
        <w:autoSpaceDE/>
        <w:autoSpaceDN/>
        <w:adjustRightInd/>
        <w:spacing w:before="120"/>
        <w:rPr>
          <w:rFonts w:ascii="Arial" w:hAnsi="Arial" w:cs="Arial"/>
          <w:sz w:val="20"/>
          <w:szCs w:val="20"/>
        </w:rPr>
      </w:pPr>
      <w:r w:rsidRPr="003A3A9E">
        <w:rPr>
          <w:rFonts w:ascii="Arial" w:hAnsi="Arial" w:cs="Arial"/>
          <w:sz w:val="20"/>
          <w:szCs w:val="20"/>
        </w:rPr>
        <w:t xml:space="preserve">Zgodnie ze stanowiskiem Regionalnego Dyrektora Ochrony Środowiska w Szczecinie </w:t>
      </w:r>
      <w:r w:rsidR="001371A4" w:rsidRPr="003A3A9E">
        <w:rPr>
          <w:rFonts w:ascii="Arial" w:hAnsi="Arial" w:cs="Arial"/>
          <w:sz w:val="20"/>
          <w:szCs w:val="20"/>
        </w:rPr>
        <w:br/>
      </w:r>
      <w:r w:rsidRPr="003A3A9E">
        <w:rPr>
          <w:rFonts w:ascii="Arial" w:hAnsi="Arial" w:cs="Arial"/>
          <w:sz w:val="20"/>
          <w:szCs w:val="20"/>
        </w:rPr>
        <w:t xml:space="preserve">oraz Zachodniopomorskiego Państwowego Wojewódzkiego Inspektora Sanitarnego w Szczecinie </w:t>
      </w:r>
      <w:r w:rsidR="001371A4" w:rsidRPr="003A3A9E">
        <w:rPr>
          <w:rFonts w:ascii="Arial" w:hAnsi="Arial" w:cs="Arial"/>
          <w:sz w:val="20"/>
          <w:szCs w:val="20"/>
        </w:rPr>
        <w:br/>
      </w:r>
      <w:r w:rsidRPr="003A3A9E">
        <w:rPr>
          <w:rFonts w:ascii="Arial" w:hAnsi="Arial" w:cs="Arial"/>
          <w:sz w:val="20"/>
          <w:szCs w:val="20"/>
        </w:rPr>
        <w:t xml:space="preserve">dla niniejszego dokumentu nie wymagano przeprowadzenia strategicznej oceny oddziaływania </w:t>
      </w:r>
      <w:r w:rsidR="001371A4" w:rsidRPr="003A3A9E">
        <w:rPr>
          <w:rFonts w:ascii="Arial" w:hAnsi="Arial" w:cs="Arial"/>
          <w:sz w:val="20"/>
          <w:szCs w:val="20"/>
        </w:rPr>
        <w:br/>
      </w:r>
      <w:r w:rsidRPr="003A3A9E">
        <w:rPr>
          <w:rFonts w:ascii="Arial" w:hAnsi="Arial" w:cs="Arial"/>
          <w:sz w:val="20"/>
          <w:szCs w:val="20"/>
        </w:rPr>
        <w:t>na środowisko.</w:t>
      </w:r>
    </w:p>
    <w:p w:rsidR="00510E8A" w:rsidRPr="003A3A9E" w:rsidRDefault="00510E8A" w:rsidP="003963F3">
      <w:pPr>
        <w:autoSpaceDE/>
        <w:autoSpaceDN/>
        <w:adjustRightInd/>
        <w:spacing w:before="120"/>
        <w:rPr>
          <w:rFonts w:ascii="Arial" w:hAnsi="Arial" w:cs="Arial"/>
          <w:sz w:val="20"/>
          <w:szCs w:val="20"/>
        </w:rPr>
      </w:pPr>
      <w:r w:rsidRPr="003A3A9E">
        <w:rPr>
          <w:rFonts w:ascii="Arial" w:hAnsi="Arial" w:cs="Arial"/>
          <w:sz w:val="20"/>
          <w:szCs w:val="20"/>
        </w:rPr>
        <w:t xml:space="preserve">W postępowaniu, którego przedmiotem </w:t>
      </w:r>
      <w:r w:rsidR="009C66FD" w:rsidRPr="003A3A9E">
        <w:rPr>
          <w:rFonts w:ascii="Arial" w:hAnsi="Arial" w:cs="Arial"/>
          <w:sz w:val="20"/>
          <w:szCs w:val="20"/>
        </w:rPr>
        <w:t>było</w:t>
      </w:r>
      <w:r w:rsidRPr="003A3A9E">
        <w:rPr>
          <w:rFonts w:ascii="Arial" w:hAnsi="Arial" w:cs="Arial"/>
          <w:sz w:val="20"/>
          <w:szCs w:val="20"/>
        </w:rPr>
        <w:t xml:space="preserve"> sporządzenie aktualizacji programu naprawczego, zgodnie z art. 91 ust. 9 ustawy Prawo ochrony środowiska, koniecznym było zapewnienie udziału społeczeństwa. Informację o przygotowanym projekcie oraz możliwości i sposobie wnoszenia </w:t>
      </w:r>
      <w:r w:rsidR="005E2A52" w:rsidRPr="003A3A9E">
        <w:rPr>
          <w:rFonts w:ascii="Arial" w:hAnsi="Arial" w:cs="Arial"/>
          <w:sz w:val="20"/>
          <w:szCs w:val="20"/>
        </w:rPr>
        <w:br/>
      </w:r>
      <w:r w:rsidRPr="003A3A9E">
        <w:rPr>
          <w:rFonts w:ascii="Arial" w:hAnsi="Arial" w:cs="Arial"/>
          <w:sz w:val="20"/>
          <w:szCs w:val="20"/>
        </w:rPr>
        <w:t xml:space="preserve">do niego uwag i wniosków Zarząd Województwa Zachodniopomorskiego podał w publicznie dostępnym wykazie, na tablicy ogłoszeń oraz w ogłoszeniu zamieszczonym w dniu </w:t>
      </w:r>
      <w:r w:rsidR="00B157C4" w:rsidRPr="003A3A9E">
        <w:rPr>
          <w:rFonts w:ascii="Arial" w:hAnsi="Arial" w:cs="Arial"/>
          <w:sz w:val="20"/>
          <w:szCs w:val="20"/>
        </w:rPr>
        <w:t>1</w:t>
      </w:r>
      <w:r w:rsidRPr="003A3A9E">
        <w:rPr>
          <w:rFonts w:ascii="Arial" w:hAnsi="Arial" w:cs="Arial"/>
          <w:sz w:val="20"/>
          <w:szCs w:val="20"/>
        </w:rPr>
        <w:t xml:space="preserve">0 </w:t>
      </w:r>
      <w:r w:rsidR="00B157C4" w:rsidRPr="003A3A9E">
        <w:rPr>
          <w:rFonts w:ascii="Arial" w:hAnsi="Arial" w:cs="Arial"/>
          <w:sz w:val="20"/>
          <w:szCs w:val="20"/>
        </w:rPr>
        <w:t>lipca</w:t>
      </w:r>
      <w:r w:rsidRPr="003A3A9E">
        <w:rPr>
          <w:rFonts w:ascii="Arial" w:hAnsi="Arial" w:cs="Arial"/>
          <w:sz w:val="20"/>
          <w:szCs w:val="20"/>
        </w:rPr>
        <w:t xml:space="preserve"> 202</w:t>
      </w:r>
      <w:r w:rsidR="009C66FD" w:rsidRPr="003A3A9E">
        <w:rPr>
          <w:rFonts w:ascii="Arial" w:hAnsi="Arial" w:cs="Arial"/>
          <w:sz w:val="20"/>
          <w:szCs w:val="20"/>
        </w:rPr>
        <w:t>3</w:t>
      </w:r>
      <w:r w:rsidRPr="003A3A9E">
        <w:rPr>
          <w:rFonts w:ascii="Arial" w:hAnsi="Arial" w:cs="Arial"/>
          <w:sz w:val="20"/>
          <w:szCs w:val="20"/>
        </w:rPr>
        <w:t xml:space="preserve"> r. </w:t>
      </w:r>
      <w:r w:rsidR="005E2A52" w:rsidRPr="003A3A9E">
        <w:rPr>
          <w:rFonts w:ascii="Arial" w:hAnsi="Arial" w:cs="Arial"/>
          <w:sz w:val="20"/>
          <w:szCs w:val="20"/>
        </w:rPr>
        <w:br/>
      </w:r>
      <w:r w:rsidRPr="003A3A9E">
        <w:rPr>
          <w:rFonts w:ascii="Arial" w:hAnsi="Arial" w:cs="Arial"/>
          <w:sz w:val="20"/>
          <w:szCs w:val="20"/>
        </w:rPr>
        <w:t>w prasie: Głos Szczeciński oraz Głos Koszaliński. Uwagi i wnioski do przedłożonego projektu mogły być wnoszone w</w:t>
      </w:r>
      <w:r w:rsidR="00B157C4" w:rsidRPr="003A3A9E">
        <w:rPr>
          <w:rFonts w:ascii="Arial" w:hAnsi="Arial" w:cs="Arial"/>
          <w:sz w:val="20"/>
          <w:szCs w:val="20"/>
        </w:rPr>
        <w:t> </w:t>
      </w:r>
      <w:r w:rsidRPr="003A3A9E">
        <w:rPr>
          <w:rFonts w:ascii="Arial" w:hAnsi="Arial" w:cs="Arial"/>
          <w:sz w:val="20"/>
          <w:szCs w:val="20"/>
        </w:rPr>
        <w:t xml:space="preserve">formie pisemnej, za pomocą środków komunikacji elektronicznej bez konieczności opatrywania ich kwalifikowanym podpisem elektronicznym oraz ustnie w terminie 21 dni </w:t>
      </w:r>
      <w:r w:rsidR="005E2A52" w:rsidRPr="003A3A9E">
        <w:rPr>
          <w:rFonts w:ascii="Arial" w:hAnsi="Arial" w:cs="Arial"/>
          <w:sz w:val="20"/>
          <w:szCs w:val="20"/>
        </w:rPr>
        <w:br/>
      </w:r>
      <w:r w:rsidRPr="003A3A9E">
        <w:rPr>
          <w:rFonts w:ascii="Arial" w:hAnsi="Arial" w:cs="Arial"/>
          <w:sz w:val="20"/>
          <w:szCs w:val="20"/>
        </w:rPr>
        <w:t xml:space="preserve">od rozpoczęcia konsultacji społecznych, tj. od </w:t>
      </w:r>
      <w:r w:rsidR="00B157C4" w:rsidRPr="003A3A9E">
        <w:rPr>
          <w:rFonts w:ascii="Arial" w:hAnsi="Arial" w:cs="Arial"/>
          <w:sz w:val="20"/>
          <w:szCs w:val="20"/>
        </w:rPr>
        <w:t>1</w:t>
      </w:r>
      <w:r w:rsidRPr="003A3A9E">
        <w:rPr>
          <w:rFonts w:ascii="Arial" w:hAnsi="Arial" w:cs="Arial"/>
          <w:sz w:val="20"/>
          <w:szCs w:val="20"/>
        </w:rPr>
        <w:t xml:space="preserve">1 </w:t>
      </w:r>
      <w:r w:rsidR="00B157C4" w:rsidRPr="003A3A9E">
        <w:rPr>
          <w:rFonts w:ascii="Arial" w:hAnsi="Arial" w:cs="Arial"/>
          <w:sz w:val="20"/>
          <w:szCs w:val="20"/>
        </w:rPr>
        <w:t>lipca</w:t>
      </w:r>
      <w:r w:rsidRPr="003A3A9E">
        <w:rPr>
          <w:rFonts w:ascii="Arial" w:hAnsi="Arial" w:cs="Arial"/>
          <w:sz w:val="20"/>
          <w:szCs w:val="20"/>
        </w:rPr>
        <w:t xml:space="preserve"> do 1 </w:t>
      </w:r>
      <w:r w:rsidR="00B157C4" w:rsidRPr="003A3A9E">
        <w:rPr>
          <w:rFonts w:ascii="Arial" w:hAnsi="Arial" w:cs="Arial"/>
          <w:sz w:val="20"/>
          <w:szCs w:val="20"/>
        </w:rPr>
        <w:t>sierpnia</w:t>
      </w:r>
      <w:r w:rsidRPr="003A3A9E">
        <w:rPr>
          <w:rFonts w:ascii="Arial" w:hAnsi="Arial" w:cs="Arial"/>
          <w:sz w:val="20"/>
          <w:szCs w:val="20"/>
        </w:rPr>
        <w:t xml:space="preserve"> 202</w:t>
      </w:r>
      <w:r w:rsidR="00C52C6A" w:rsidRPr="003A3A9E">
        <w:rPr>
          <w:rFonts w:ascii="Arial" w:hAnsi="Arial" w:cs="Arial"/>
          <w:sz w:val="20"/>
          <w:szCs w:val="20"/>
        </w:rPr>
        <w:t>3</w:t>
      </w:r>
      <w:r w:rsidRPr="003A3A9E">
        <w:rPr>
          <w:rFonts w:ascii="Arial" w:hAnsi="Arial" w:cs="Arial"/>
          <w:sz w:val="20"/>
          <w:szCs w:val="20"/>
        </w:rPr>
        <w:t xml:space="preserve"> r. Do przedłożonego projektu w ramach konsultacji społecznych wpłynęł</w:t>
      </w:r>
      <w:r w:rsidR="00B157C4" w:rsidRPr="003A3A9E">
        <w:rPr>
          <w:rFonts w:ascii="Arial" w:hAnsi="Arial" w:cs="Arial"/>
          <w:sz w:val="20"/>
          <w:szCs w:val="20"/>
        </w:rPr>
        <w:t>o</w:t>
      </w:r>
      <w:r w:rsidRPr="003A3A9E">
        <w:rPr>
          <w:rFonts w:ascii="Arial" w:hAnsi="Arial" w:cs="Arial"/>
          <w:sz w:val="20"/>
          <w:szCs w:val="20"/>
        </w:rPr>
        <w:t xml:space="preserve"> </w:t>
      </w:r>
      <w:r w:rsidR="00B157C4" w:rsidRPr="003A3A9E">
        <w:rPr>
          <w:rFonts w:ascii="Arial" w:hAnsi="Arial" w:cs="Arial"/>
          <w:sz w:val="20"/>
          <w:szCs w:val="20"/>
        </w:rPr>
        <w:t>100</w:t>
      </w:r>
      <w:r w:rsidRPr="003A3A9E">
        <w:rPr>
          <w:rFonts w:ascii="Arial" w:hAnsi="Arial" w:cs="Arial"/>
          <w:sz w:val="20"/>
          <w:szCs w:val="20"/>
        </w:rPr>
        <w:t xml:space="preserve"> wniosk</w:t>
      </w:r>
      <w:r w:rsidR="00B157C4" w:rsidRPr="003A3A9E">
        <w:rPr>
          <w:rFonts w:ascii="Arial" w:hAnsi="Arial" w:cs="Arial"/>
          <w:sz w:val="20"/>
          <w:szCs w:val="20"/>
        </w:rPr>
        <w:t>ów</w:t>
      </w:r>
      <w:r w:rsidRPr="003A3A9E">
        <w:rPr>
          <w:rFonts w:ascii="Arial" w:hAnsi="Arial" w:cs="Arial"/>
          <w:sz w:val="20"/>
          <w:szCs w:val="20"/>
        </w:rPr>
        <w:t xml:space="preserve"> z uwagami</w:t>
      </w:r>
      <w:r w:rsidR="00844F08" w:rsidRPr="003A3A9E">
        <w:rPr>
          <w:rFonts w:ascii="Arial" w:hAnsi="Arial" w:cs="Arial"/>
          <w:sz w:val="20"/>
          <w:szCs w:val="20"/>
        </w:rPr>
        <w:t xml:space="preserve"> (w tym 94 wnioski </w:t>
      </w:r>
      <w:r w:rsidR="005E2A52" w:rsidRPr="003A3A9E">
        <w:rPr>
          <w:rFonts w:ascii="Arial" w:hAnsi="Arial" w:cs="Arial"/>
          <w:sz w:val="20"/>
          <w:szCs w:val="20"/>
        </w:rPr>
        <w:br/>
      </w:r>
      <w:r w:rsidR="00844F08" w:rsidRPr="003A3A9E">
        <w:rPr>
          <w:rFonts w:ascii="Arial" w:hAnsi="Arial" w:cs="Arial"/>
          <w:sz w:val="20"/>
          <w:szCs w:val="20"/>
        </w:rPr>
        <w:t>o takiej samej treści)</w:t>
      </w:r>
      <w:r w:rsidR="00B157C4" w:rsidRPr="003A3A9E">
        <w:rPr>
          <w:rFonts w:ascii="Arial" w:hAnsi="Arial" w:cs="Arial"/>
          <w:sz w:val="20"/>
          <w:szCs w:val="20"/>
        </w:rPr>
        <w:t>. Wszystkie wnioski zostały złożone w terminie. W ramach prowadzonych konsultacji społecznych w dniu 25.07.2023 r. zorganizowano także spotkanie</w:t>
      </w:r>
      <w:r w:rsidR="00A70A5C" w:rsidRPr="003A3A9E">
        <w:rPr>
          <w:rFonts w:ascii="Arial" w:hAnsi="Arial" w:cs="Arial"/>
          <w:sz w:val="20"/>
          <w:szCs w:val="20"/>
        </w:rPr>
        <w:t>, podczas</w:t>
      </w:r>
      <w:r w:rsidR="00B157C4" w:rsidRPr="003A3A9E">
        <w:rPr>
          <w:rFonts w:ascii="Arial" w:hAnsi="Arial" w:cs="Arial"/>
          <w:sz w:val="20"/>
          <w:szCs w:val="20"/>
        </w:rPr>
        <w:t xml:space="preserve"> którego za</w:t>
      </w:r>
      <w:r w:rsidRPr="003A3A9E">
        <w:rPr>
          <w:rFonts w:ascii="Arial" w:hAnsi="Arial" w:cs="Arial"/>
          <w:sz w:val="20"/>
          <w:szCs w:val="20"/>
        </w:rPr>
        <w:t>prezent</w:t>
      </w:r>
      <w:r w:rsidR="00B157C4" w:rsidRPr="003A3A9E">
        <w:rPr>
          <w:rFonts w:ascii="Arial" w:hAnsi="Arial" w:cs="Arial"/>
          <w:sz w:val="20"/>
          <w:szCs w:val="20"/>
        </w:rPr>
        <w:t>owan</w:t>
      </w:r>
      <w:r w:rsidRPr="003A3A9E">
        <w:rPr>
          <w:rFonts w:ascii="Arial" w:hAnsi="Arial" w:cs="Arial"/>
          <w:sz w:val="20"/>
          <w:szCs w:val="20"/>
        </w:rPr>
        <w:t xml:space="preserve">o </w:t>
      </w:r>
      <w:r w:rsidR="00B157C4" w:rsidRPr="003A3A9E">
        <w:rPr>
          <w:rFonts w:ascii="Arial" w:hAnsi="Arial" w:cs="Arial"/>
          <w:sz w:val="20"/>
          <w:szCs w:val="20"/>
        </w:rPr>
        <w:t xml:space="preserve">zapisy </w:t>
      </w:r>
      <w:r w:rsidRPr="003A3A9E">
        <w:rPr>
          <w:rFonts w:ascii="Arial" w:hAnsi="Arial" w:cs="Arial"/>
          <w:sz w:val="20"/>
          <w:szCs w:val="20"/>
        </w:rPr>
        <w:t>opracowane</w:t>
      </w:r>
      <w:r w:rsidR="00B157C4" w:rsidRPr="003A3A9E">
        <w:rPr>
          <w:rFonts w:ascii="Arial" w:hAnsi="Arial" w:cs="Arial"/>
          <w:sz w:val="20"/>
          <w:szCs w:val="20"/>
        </w:rPr>
        <w:t>go</w:t>
      </w:r>
      <w:r w:rsidRPr="003A3A9E">
        <w:rPr>
          <w:rFonts w:ascii="Arial" w:hAnsi="Arial" w:cs="Arial"/>
          <w:sz w:val="20"/>
          <w:szCs w:val="20"/>
        </w:rPr>
        <w:t xml:space="preserve"> projekt</w:t>
      </w:r>
      <w:r w:rsidR="00B157C4" w:rsidRPr="003A3A9E">
        <w:rPr>
          <w:rFonts w:ascii="Arial" w:hAnsi="Arial" w:cs="Arial"/>
          <w:sz w:val="20"/>
          <w:szCs w:val="20"/>
        </w:rPr>
        <w:t>u Aktualizacji.</w:t>
      </w:r>
      <w:r w:rsidRPr="003A3A9E">
        <w:rPr>
          <w:rFonts w:ascii="Arial" w:hAnsi="Arial" w:cs="Arial"/>
          <w:sz w:val="20"/>
          <w:szCs w:val="20"/>
        </w:rPr>
        <w:t xml:space="preserve"> Zestawienie wniesionych uwag </w:t>
      </w:r>
      <w:r w:rsidR="00A70A5C" w:rsidRPr="003A3A9E">
        <w:rPr>
          <w:rFonts w:ascii="Arial" w:hAnsi="Arial" w:cs="Arial"/>
          <w:sz w:val="20"/>
          <w:szCs w:val="20"/>
        </w:rPr>
        <w:br/>
      </w:r>
      <w:r w:rsidRPr="003A3A9E">
        <w:rPr>
          <w:rFonts w:ascii="Arial" w:hAnsi="Arial" w:cs="Arial"/>
          <w:sz w:val="20"/>
          <w:szCs w:val="20"/>
        </w:rPr>
        <w:t>oraz informacja o sposobie ich wykorzystania, zgodnie z art. 42 ust. 2 ustawy o</w:t>
      </w:r>
      <w:r w:rsidR="00B157C4" w:rsidRPr="003A3A9E">
        <w:rPr>
          <w:rFonts w:ascii="Arial" w:hAnsi="Arial" w:cs="Arial"/>
          <w:sz w:val="20"/>
          <w:szCs w:val="20"/>
        </w:rPr>
        <w:t> </w:t>
      </w:r>
      <w:r w:rsidRPr="003A3A9E">
        <w:rPr>
          <w:rFonts w:ascii="Arial" w:hAnsi="Arial" w:cs="Arial"/>
          <w:sz w:val="20"/>
          <w:szCs w:val="20"/>
        </w:rPr>
        <w:t xml:space="preserve">udostępnianiu informacji o środowisku i jego ochronie, udziale społeczeństwa w ochronie środowiska oraz ocenach oddziaływania na środowisko </w:t>
      </w:r>
      <w:r w:rsidR="00B157C4" w:rsidRPr="003A3A9E">
        <w:rPr>
          <w:rFonts w:ascii="Arial" w:hAnsi="Arial" w:cs="Arial"/>
          <w:sz w:val="20"/>
          <w:szCs w:val="20"/>
        </w:rPr>
        <w:t xml:space="preserve">(Dz.U. 2023 r., </w:t>
      </w:r>
      <w:r w:rsidR="00A71738" w:rsidRPr="003A3A9E">
        <w:rPr>
          <w:rFonts w:ascii="Arial" w:hAnsi="Arial" w:cs="Arial"/>
          <w:sz w:val="20"/>
          <w:szCs w:val="20"/>
        </w:rPr>
        <w:t>p</w:t>
      </w:r>
      <w:r w:rsidR="00B157C4" w:rsidRPr="003A3A9E">
        <w:rPr>
          <w:rFonts w:ascii="Arial" w:hAnsi="Arial" w:cs="Arial"/>
          <w:sz w:val="20"/>
          <w:szCs w:val="20"/>
        </w:rPr>
        <w:t xml:space="preserve">oz. </w:t>
      </w:r>
      <w:r w:rsidR="00A71738" w:rsidRPr="003A3A9E">
        <w:rPr>
          <w:rFonts w:ascii="Arial" w:hAnsi="Arial" w:cs="Arial"/>
          <w:sz w:val="20"/>
          <w:szCs w:val="20"/>
        </w:rPr>
        <w:t xml:space="preserve">1094 ze zm.) </w:t>
      </w:r>
      <w:r w:rsidRPr="003A3A9E">
        <w:rPr>
          <w:rFonts w:ascii="Arial" w:hAnsi="Arial" w:cs="Arial"/>
          <w:sz w:val="20"/>
          <w:szCs w:val="20"/>
        </w:rPr>
        <w:t>stanowi integralną część uzasadnienia.</w:t>
      </w:r>
    </w:p>
    <w:p w:rsidR="00A71738" w:rsidRPr="003A3A9E" w:rsidRDefault="00510E8A" w:rsidP="003963F3">
      <w:pPr>
        <w:autoSpaceDE/>
        <w:autoSpaceDN/>
        <w:adjustRightInd/>
        <w:spacing w:before="120"/>
        <w:rPr>
          <w:rFonts w:ascii="Arial" w:hAnsi="Arial" w:cs="Arial"/>
          <w:sz w:val="20"/>
          <w:szCs w:val="20"/>
        </w:rPr>
      </w:pPr>
      <w:r w:rsidRPr="003A3A9E">
        <w:rPr>
          <w:rFonts w:ascii="Arial" w:hAnsi="Arial" w:cs="Arial"/>
          <w:sz w:val="20"/>
          <w:szCs w:val="20"/>
        </w:rPr>
        <w:t>Ponadto</w:t>
      </w:r>
      <w:r w:rsidR="00A70A5C" w:rsidRPr="003A3A9E">
        <w:rPr>
          <w:rFonts w:ascii="Arial" w:hAnsi="Arial" w:cs="Arial"/>
          <w:sz w:val="20"/>
          <w:szCs w:val="20"/>
        </w:rPr>
        <w:t>,</w:t>
      </w:r>
      <w:r w:rsidRPr="003A3A9E">
        <w:rPr>
          <w:rFonts w:ascii="Arial" w:hAnsi="Arial" w:cs="Arial"/>
          <w:sz w:val="20"/>
          <w:szCs w:val="20"/>
        </w:rPr>
        <w:t xml:space="preserve"> projekt uchwały Sejmiku Województwa Zachodniopomorskiego w sprawie określenia "Aktualizacji Programu ochrony powietrza wraz z planem działań krótkoterminowych dla strefy zachodniopomorskiej" został przekazany do zaopiniowania właściwym organom wskazanym w art. 91 ust. 5 oraz w art. 92 ust. 1 ustawy Prawo ochrony środowiska (Dz. U. z 2022 r., poz. 2556 ze zm.)</w:t>
      </w:r>
      <w:r w:rsidR="00A71738" w:rsidRPr="003A3A9E">
        <w:rPr>
          <w:rFonts w:ascii="Arial" w:hAnsi="Arial" w:cs="Arial"/>
          <w:sz w:val="20"/>
          <w:szCs w:val="20"/>
        </w:rPr>
        <w:t>. Opinię do projektu uchwały Sejmiku Województwa Zachodniopomorskiego w sprawie niniejszej Aktualizacji przesłały 2</w:t>
      </w:r>
      <w:r w:rsidR="008E00DA" w:rsidRPr="003A3A9E">
        <w:rPr>
          <w:rFonts w:ascii="Arial" w:hAnsi="Arial" w:cs="Arial"/>
          <w:sz w:val="20"/>
          <w:szCs w:val="20"/>
        </w:rPr>
        <w:t>2</w:t>
      </w:r>
      <w:r w:rsidR="00A71738" w:rsidRPr="003A3A9E">
        <w:rPr>
          <w:rFonts w:ascii="Arial" w:hAnsi="Arial" w:cs="Arial"/>
          <w:sz w:val="20"/>
          <w:szCs w:val="20"/>
        </w:rPr>
        <w:t xml:space="preserve"> gminy oraz 1</w:t>
      </w:r>
      <w:r w:rsidR="008E00DA" w:rsidRPr="003A3A9E">
        <w:rPr>
          <w:rFonts w:ascii="Arial" w:hAnsi="Arial" w:cs="Arial"/>
          <w:sz w:val="20"/>
          <w:szCs w:val="20"/>
        </w:rPr>
        <w:t>1</w:t>
      </w:r>
      <w:r w:rsidR="00A71738" w:rsidRPr="003A3A9E">
        <w:rPr>
          <w:rFonts w:ascii="Arial" w:hAnsi="Arial" w:cs="Arial"/>
          <w:sz w:val="20"/>
          <w:szCs w:val="20"/>
        </w:rPr>
        <w:t xml:space="preserve"> starostw powiatowych. Zgodnie z art. 91 ust. 6 i 6a ustawy Prawo ochrony środowiska niewydanie opinii przez wójta, burmistrza, prezydenta miasta oraz starostę w terminie miesiąca od dnia otrzymania projektu uchwały w sprawie aktualizacji programu ochrony powietrza oraz </w:t>
      </w:r>
      <w:r w:rsidR="00A70A5C" w:rsidRPr="003A3A9E">
        <w:rPr>
          <w:rFonts w:ascii="Arial" w:hAnsi="Arial" w:cs="Arial"/>
          <w:sz w:val="20"/>
          <w:szCs w:val="20"/>
        </w:rPr>
        <w:t>planu działań krótkoterminowych</w:t>
      </w:r>
      <w:r w:rsidR="00A71738" w:rsidRPr="003A3A9E">
        <w:rPr>
          <w:rFonts w:ascii="Arial" w:hAnsi="Arial" w:cs="Arial"/>
          <w:sz w:val="20"/>
          <w:szCs w:val="20"/>
        </w:rPr>
        <w:t xml:space="preserve"> oznacza akceptację przedłożonego do zaopiniowania projektu uchwały. Zestawienie wniesionych opinii wraz z informacją o sposobie ich wykorzystania stanowi odrębny dokument.</w:t>
      </w:r>
    </w:p>
    <w:p w:rsidR="00B56250" w:rsidRPr="003A3A9E" w:rsidRDefault="00B56250" w:rsidP="003963F3">
      <w:pPr>
        <w:autoSpaceDE/>
        <w:autoSpaceDN/>
        <w:adjustRightInd/>
        <w:spacing w:before="120"/>
        <w:rPr>
          <w:rFonts w:ascii="Arial" w:hAnsi="Arial" w:cs="Arial"/>
          <w:sz w:val="20"/>
          <w:szCs w:val="20"/>
        </w:rPr>
      </w:pPr>
      <w:r w:rsidRPr="003A3A9E">
        <w:rPr>
          <w:rFonts w:ascii="Arial" w:hAnsi="Arial" w:cs="Arial"/>
          <w:sz w:val="20"/>
          <w:szCs w:val="20"/>
        </w:rPr>
        <w:t>Równocześnie</w:t>
      </w:r>
      <w:r w:rsidR="00B60DCB" w:rsidRPr="003A3A9E">
        <w:rPr>
          <w:rFonts w:ascii="Arial" w:hAnsi="Arial" w:cs="Arial"/>
          <w:sz w:val="20"/>
          <w:szCs w:val="20"/>
        </w:rPr>
        <w:t>,</w:t>
      </w:r>
      <w:r w:rsidRPr="003A3A9E">
        <w:rPr>
          <w:rFonts w:ascii="Arial" w:hAnsi="Arial" w:cs="Arial"/>
          <w:sz w:val="20"/>
          <w:szCs w:val="20"/>
        </w:rPr>
        <w:t xml:space="preserve"> na podstawie § 1 Uchwały Nr XXVIII/433/17 Sejmiku Województwa Zachodniopomorskiego z dnia 21 listopada 2017 r., projekt uchwały podlegał konsultacjom z organizacjami pozarządowymi i podmiotami, o których mowa w art. 3 ust. 3 ustawy o działalności pożytku publicznego i o wolontariacie. Ogłoszenie o konsultacjach umieszczone zostało w zakładce tematycznej „Konsultacje” w Biuletynie Informacji Publicznej www.bip.wzp.pl, jak i na stronie internetowej Urzędu Marszałkowskiego Województwa Zachodniopomorskiego www.wzp.pl w zakładce </w:t>
      </w:r>
      <w:r w:rsidRPr="003A3A9E">
        <w:rPr>
          <w:rFonts w:ascii="Arial" w:hAnsi="Arial" w:cs="Arial"/>
          <w:sz w:val="20"/>
          <w:szCs w:val="20"/>
        </w:rPr>
        <w:lastRenderedPageBreak/>
        <w:t>Aktualności Wydziału Ochrony Środowiska. Przedłożony do konsultacji projekt uzyskał pozytywną opinię Zachodniopomorskiej Rady Działalności Pożytku Publicznego (Uchwała Nr 23/2022-2025 Zachodniopomorskiej Rady Działalności Pożytku Publicznego V kadencji z dnia 27 lipca 2023 r.).</w:t>
      </w:r>
    </w:p>
    <w:p w:rsidR="00510E8A" w:rsidRPr="003A3A9E" w:rsidRDefault="00142A9E" w:rsidP="003963F3">
      <w:pPr>
        <w:autoSpaceDE/>
        <w:autoSpaceDN/>
        <w:adjustRightInd/>
        <w:spacing w:before="120"/>
        <w:rPr>
          <w:rFonts w:ascii="Arial" w:hAnsi="Arial" w:cs="Arial"/>
          <w:sz w:val="20"/>
          <w:szCs w:val="20"/>
        </w:rPr>
      </w:pPr>
      <w:r w:rsidRPr="003A3A9E">
        <w:rPr>
          <w:rFonts w:ascii="Arial" w:hAnsi="Arial" w:cs="Arial"/>
          <w:sz w:val="20"/>
          <w:szCs w:val="20"/>
        </w:rPr>
        <w:t>Podjęcie przedmiotowej uchwały przez Sejmik Województwa Zachodniopomorskiego, po zakończeniu procesu konsultacji i opiniowania, stanowić będzie wypełnienie delegacji ustawowej, określonej w</w:t>
      </w:r>
      <w:r w:rsidR="001C5EDC" w:rsidRPr="003A3A9E">
        <w:rPr>
          <w:rFonts w:ascii="Arial" w:hAnsi="Arial" w:cs="Arial"/>
          <w:sz w:val="20"/>
          <w:szCs w:val="20"/>
        </w:rPr>
        <w:t> </w:t>
      </w:r>
      <w:r w:rsidRPr="003A3A9E">
        <w:rPr>
          <w:rFonts w:ascii="Arial" w:hAnsi="Arial" w:cs="Arial"/>
          <w:sz w:val="20"/>
          <w:szCs w:val="20"/>
        </w:rPr>
        <w:t>art.</w:t>
      </w:r>
      <w:r w:rsidR="001C5EDC" w:rsidRPr="003A3A9E">
        <w:rPr>
          <w:rFonts w:ascii="Arial" w:hAnsi="Arial" w:cs="Arial"/>
          <w:sz w:val="20"/>
          <w:szCs w:val="20"/>
        </w:rPr>
        <w:t> </w:t>
      </w:r>
      <w:r w:rsidRPr="003A3A9E">
        <w:rPr>
          <w:rFonts w:ascii="Arial" w:hAnsi="Arial" w:cs="Arial"/>
          <w:sz w:val="20"/>
          <w:szCs w:val="20"/>
        </w:rPr>
        <w:t xml:space="preserve">91 ust. 3 i 92 ust. 1c ustawy Prawo ochrony środowiska </w:t>
      </w:r>
      <w:r w:rsidR="00510E8A" w:rsidRPr="003A3A9E">
        <w:rPr>
          <w:rFonts w:ascii="Arial" w:hAnsi="Arial" w:cs="Arial"/>
          <w:sz w:val="20"/>
          <w:szCs w:val="20"/>
        </w:rPr>
        <w:t>(Dz. U z 2022 r., poz. 2556 ze zm.).</w:t>
      </w:r>
    </w:p>
    <w:p w:rsidR="008D34F8" w:rsidRPr="003A3A9E" w:rsidRDefault="008D34F8" w:rsidP="003963F3">
      <w:pPr>
        <w:autoSpaceDE/>
        <w:autoSpaceDN/>
        <w:adjustRightInd/>
        <w:spacing w:before="120"/>
        <w:jc w:val="left"/>
        <w:rPr>
          <w:rFonts w:ascii="Arial" w:hAnsi="Arial" w:cs="Arial"/>
          <w:sz w:val="20"/>
          <w:szCs w:val="20"/>
        </w:rPr>
      </w:pPr>
    </w:p>
    <w:p w:rsidR="001C5EDC" w:rsidRPr="003A3A9E" w:rsidRDefault="001C5EDC" w:rsidP="003963F3">
      <w:pPr>
        <w:autoSpaceDE/>
        <w:autoSpaceDN/>
        <w:adjustRightInd/>
        <w:spacing w:before="120"/>
        <w:jc w:val="left"/>
        <w:rPr>
          <w:rFonts w:ascii="Arial" w:hAnsi="Arial" w:cs="Arial"/>
          <w:sz w:val="20"/>
          <w:szCs w:val="20"/>
        </w:rPr>
        <w:sectPr w:rsidR="001C5EDC" w:rsidRPr="003A3A9E" w:rsidSect="008D34F8">
          <w:pgSz w:w="11906" w:h="16838"/>
          <w:pgMar w:top="1418" w:right="1418" w:bottom="993" w:left="1418" w:header="709" w:footer="709" w:gutter="0"/>
          <w:cols w:space="708"/>
          <w:docGrid w:linePitch="360"/>
        </w:sectPr>
      </w:pPr>
    </w:p>
    <w:p w:rsidR="008D34F8" w:rsidRPr="003A3A9E" w:rsidRDefault="008D34F8" w:rsidP="003963F3">
      <w:pPr>
        <w:autoSpaceDE/>
        <w:autoSpaceDN/>
        <w:adjustRightInd/>
        <w:spacing w:before="120"/>
        <w:jc w:val="left"/>
        <w:rPr>
          <w:rFonts w:ascii="Arial" w:hAnsi="Arial" w:cs="Arial"/>
          <w:sz w:val="20"/>
          <w:szCs w:val="20"/>
        </w:rPr>
      </w:pPr>
      <w:r w:rsidRPr="003A3A9E">
        <w:rPr>
          <w:rFonts w:ascii="Arial" w:hAnsi="Arial" w:cs="Arial"/>
          <w:sz w:val="20"/>
          <w:szCs w:val="20"/>
        </w:rPr>
        <w:t xml:space="preserve">Załącznik do uzasadnienia uchwały Nr </w:t>
      </w:r>
      <w:r w:rsidR="003E1DF3" w:rsidRPr="003A3A9E">
        <w:rPr>
          <w:rFonts w:ascii="Arial" w:hAnsi="Arial" w:cs="Arial"/>
          <w:sz w:val="20"/>
          <w:szCs w:val="20"/>
        </w:rPr>
        <w:t>XLV/540</w:t>
      </w:r>
      <w:r w:rsidR="001A095B" w:rsidRPr="003A3A9E">
        <w:rPr>
          <w:rFonts w:ascii="Arial" w:hAnsi="Arial" w:cs="Arial"/>
          <w:sz w:val="20"/>
          <w:szCs w:val="20"/>
        </w:rPr>
        <w:t>/2</w:t>
      </w:r>
      <w:r w:rsidR="001C5EDC" w:rsidRPr="003A3A9E">
        <w:rPr>
          <w:rFonts w:ascii="Arial" w:hAnsi="Arial" w:cs="Arial"/>
          <w:sz w:val="20"/>
          <w:szCs w:val="20"/>
        </w:rPr>
        <w:t>3</w:t>
      </w:r>
      <w:r w:rsidR="001A095B" w:rsidRPr="003A3A9E">
        <w:rPr>
          <w:rFonts w:ascii="Arial" w:hAnsi="Arial" w:cs="Arial"/>
          <w:sz w:val="20"/>
          <w:szCs w:val="20"/>
        </w:rPr>
        <w:t xml:space="preserve"> </w:t>
      </w:r>
      <w:r w:rsidRPr="003A3A9E">
        <w:rPr>
          <w:rFonts w:ascii="Arial" w:hAnsi="Arial" w:cs="Arial"/>
          <w:sz w:val="20"/>
          <w:szCs w:val="20"/>
        </w:rPr>
        <w:t>Sejmiku Województwa Zachodniopomorskiego - informacja o udziale społeczeństwa w postępowaniu oraz o tym, w jaki sposób zostały wzięte pod uwagę i w jakim zakresie zostały uwzględnione uwagi i wnioski zgłoszone w związku z udziałem społeczeństwa</w:t>
      </w:r>
    </w:p>
    <w:tbl>
      <w:tblPr>
        <w:tblW w:w="4810" w:type="pct"/>
        <w:tblCellMar>
          <w:left w:w="70" w:type="dxa"/>
          <w:right w:w="70" w:type="dxa"/>
        </w:tblCellMar>
        <w:tblLook w:val="04A0" w:firstRow="1" w:lastRow="0" w:firstColumn="1" w:lastColumn="0" w:noHBand="0" w:noVBand="1"/>
      </w:tblPr>
      <w:tblGrid>
        <w:gridCol w:w="396"/>
        <w:gridCol w:w="6300"/>
        <w:gridCol w:w="5490"/>
        <w:gridCol w:w="1276"/>
      </w:tblGrid>
      <w:tr w:rsidR="00344485" w:rsidRPr="003A3A9E" w:rsidTr="003B7ABA">
        <w:trPr>
          <w:trHeight w:val="510"/>
          <w:tblHeader/>
        </w:trPr>
        <w:tc>
          <w:tcPr>
            <w:tcW w:w="147"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44485" w:rsidRPr="003A3A9E" w:rsidRDefault="00344485" w:rsidP="003963F3">
            <w:pPr>
              <w:spacing w:before="120"/>
              <w:rPr>
                <w:rFonts w:ascii="Arial" w:hAnsi="Arial" w:cs="Arial"/>
                <w:b/>
                <w:bCs/>
                <w:color w:val="000000"/>
                <w:sz w:val="20"/>
                <w:szCs w:val="20"/>
              </w:rPr>
            </w:pPr>
            <w:r w:rsidRPr="003A3A9E">
              <w:rPr>
                <w:rFonts w:ascii="Arial" w:hAnsi="Arial" w:cs="Arial"/>
                <w:b/>
                <w:bCs/>
                <w:color w:val="000000"/>
                <w:sz w:val="20"/>
                <w:szCs w:val="20"/>
              </w:rPr>
              <w:t>Lp</w:t>
            </w:r>
          </w:p>
        </w:tc>
        <w:tc>
          <w:tcPr>
            <w:tcW w:w="2340" w:type="pct"/>
            <w:tcBorders>
              <w:top w:val="single" w:sz="4" w:space="0" w:color="auto"/>
              <w:left w:val="nil"/>
              <w:bottom w:val="single" w:sz="4" w:space="0" w:color="auto"/>
              <w:right w:val="single" w:sz="4" w:space="0" w:color="auto"/>
            </w:tcBorders>
            <w:shd w:val="clear" w:color="000000" w:fill="BFBFBF"/>
            <w:vAlign w:val="center"/>
            <w:hideMark/>
          </w:tcPr>
          <w:p w:rsidR="00344485" w:rsidRPr="003A3A9E" w:rsidRDefault="00344485" w:rsidP="003963F3">
            <w:pPr>
              <w:spacing w:before="120"/>
              <w:rPr>
                <w:rFonts w:ascii="Arial" w:hAnsi="Arial" w:cs="Arial"/>
                <w:b/>
                <w:bCs/>
                <w:color w:val="000000"/>
                <w:sz w:val="20"/>
                <w:szCs w:val="20"/>
              </w:rPr>
            </w:pPr>
            <w:r w:rsidRPr="003A3A9E">
              <w:rPr>
                <w:rFonts w:ascii="Arial" w:hAnsi="Arial" w:cs="Arial"/>
                <w:b/>
                <w:bCs/>
                <w:color w:val="000000"/>
                <w:sz w:val="20"/>
                <w:szCs w:val="20"/>
              </w:rPr>
              <w:t>Treść wniosku/uwagi</w:t>
            </w:r>
          </w:p>
        </w:tc>
        <w:tc>
          <w:tcPr>
            <w:tcW w:w="2039" w:type="pct"/>
            <w:tcBorders>
              <w:top w:val="single" w:sz="4" w:space="0" w:color="auto"/>
              <w:left w:val="nil"/>
              <w:bottom w:val="single" w:sz="4" w:space="0" w:color="auto"/>
              <w:right w:val="single" w:sz="4" w:space="0" w:color="auto"/>
            </w:tcBorders>
            <w:shd w:val="clear" w:color="000000" w:fill="BFBFBF"/>
            <w:vAlign w:val="center"/>
            <w:hideMark/>
          </w:tcPr>
          <w:p w:rsidR="00344485" w:rsidRPr="003A3A9E" w:rsidRDefault="00344485" w:rsidP="003963F3">
            <w:pPr>
              <w:spacing w:before="120"/>
              <w:rPr>
                <w:rFonts w:ascii="Arial" w:hAnsi="Arial" w:cs="Arial"/>
                <w:b/>
                <w:bCs/>
                <w:color w:val="000000"/>
                <w:sz w:val="20"/>
                <w:szCs w:val="20"/>
              </w:rPr>
            </w:pPr>
            <w:r w:rsidRPr="003A3A9E">
              <w:rPr>
                <w:rFonts w:ascii="Arial" w:hAnsi="Arial" w:cs="Arial"/>
                <w:b/>
                <w:bCs/>
                <w:color w:val="000000"/>
                <w:sz w:val="20"/>
                <w:szCs w:val="20"/>
              </w:rPr>
              <w:t>Odniesienie</w:t>
            </w:r>
          </w:p>
        </w:tc>
        <w:tc>
          <w:tcPr>
            <w:tcW w:w="474" w:type="pct"/>
            <w:tcBorders>
              <w:top w:val="single" w:sz="4" w:space="0" w:color="auto"/>
              <w:left w:val="nil"/>
              <w:bottom w:val="single" w:sz="4" w:space="0" w:color="auto"/>
              <w:right w:val="single" w:sz="4" w:space="0" w:color="auto"/>
            </w:tcBorders>
            <w:shd w:val="clear" w:color="000000" w:fill="BFBFBF"/>
            <w:vAlign w:val="center"/>
            <w:hideMark/>
          </w:tcPr>
          <w:p w:rsidR="00344485" w:rsidRPr="003A3A9E" w:rsidRDefault="00344485" w:rsidP="003963F3">
            <w:pPr>
              <w:spacing w:before="120"/>
              <w:rPr>
                <w:rFonts w:ascii="Arial" w:hAnsi="Arial" w:cs="Arial"/>
                <w:b/>
                <w:bCs/>
                <w:color w:val="000000"/>
                <w:sz w:val="20"/>
                <w:szCs w:val="20"/>
              </w:rPr>
            </w:pPr>
            <w:r w:rsidRPr="003A3A9E">
              <w:rPr>
                <w:rFonts w:ascii="Arial" w:hAnsi="Arial" w:cs="Arial"/>
                <w:b/>
                <w:bCs/>
                <w:color w:val="000000"/>
                <w:sz w:val="20"/>
                <w:szCs w:val="20"/>
              </w:rPr>
              <w:t>Zmiany w uchwale</w:t>
            </w:r>
          </w:p>
        </w:tc>
      </w:tr>
      <w:tr w:rsidR="00344485" w:rsidRPr="003A3A9E" w:rsidTr="003B7ABA">
        <w:trPr>
          <w:trHeight w:val="666"/>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1</w:t>
            </w: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Zwracam się o umieszczenie w przedmiotowym programie działania polegającego na wprowadzeniu całkowitego zakazu stosowania paliw stałych do celów grzewczych w indywidualnych systemach grzewczych na terenach przekroczeń poziomu docelowego benzopirenu, wskazanych w Rocznej ocenie jakości powietrza w województwie zachodniopomorskim za rok 2021.</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Obecnie proponowane w Programie Ochrony Powietrza działania, mające poprawić standard bytowania mieszkańców należy uznać za dalece niewystarczające. Szczególnie dotkliwe dla mieszkańców zanieczyszczenie powietrza występuje na obszarach gęstej zabudowy i spowodowane jest niską emisją z indywidualnych systemów grzewczych, co potwierdza lokalizacja obszarów przekroczeń na terenie miast strefy zachodniopomorskiej. Jako mieszkaniec Dębna, potwierdzam te spostrzeżenia wskazując na osobiste obserwacje w lokalizacji na obrzeżach miasta. W tej lokalizacji w trakcie sezonu grzewczego występuje charakterystyczne zjawisko związane ze smogiem. Polega ono na tym, że w czasie, gdy wiatr wieje ze wschodu (od miasta), to nie wskazane jest otwieranie okien w celu wentylacji, gdyż wiatr nawiewa duszący smog do pomieszczeń. Gdy wiatr wieje od zachodu (pola uprawne poza miastem) to wtedy wentylacja pomieszczeń jest możliwa poprzez okna, gdyż wtedy nie czuć smogu. Dodatkowo, nawet w okresie wiosennym, gdy na zewnątrz zaczyna być już ciepło i pogodnie, to nie warto wtedy ryzykować suszeniem prania na wietrze, gdyż owiewane smogiem nasiąka swądem spalenizny. W mojej ocenie nie są to warunki jakie powinny być akceptowalne w rozwiniętym kraju europejskim w XXI wieku.</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1) umieszczenie w projekcie Aktualizacji Programu ochrony powietrza wraz z planem działań krótkoterminowych dla strefy zachodniopomorskiej, całkowitego zakazu stosowania paliw stałych do celów grzewczych w indywidualnych systemach grzewczych na terenach przekroczeń poziomu docelowego benzopirenu, wskazanych w Rocznej ocenie jakości powietrza w województwie zachodniopomorskim za rok 2021, od dnia 1 sierpnia 2024 r.</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2) zintensyfikowanie współpracy z docelowymi samorządami w celu skutecznego wdrożenia odpowiednich regulacji prawnych na tym szczeblu, aby już w tym roku podjęte zostały stosowne uchwały rad gmin, a mieszkańcy mieli rok czasu na dostosowanie się do zmienionych wymagań.</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3) zakupienie kilku dronów z czujnikami smogu, do współdzielenia przez ww. samorządy lokalne w celu skutecznego egzekwowania przedmiotowego zakazu stosowania paliw stałych na ich terenach.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Wyjaśniam, że przedstawiona w projekcie Aktualizacji POP argumentacja o rzekomym braku możliwości technicznych wprowadzenia całkowitego zakazu spalania paliw stałych, ponieważ nie ma możliwości rozbudowy sieci ciepłowniczej oraz gazowej, nie dotyczy stref miejskich, gdzie obszarów wiejskich na pozostałym obszarze strefy zachodniopomorskiej, co czyni te przedsięwzięcie jak najbardziej możliwym do zrealizowania. Skupienie się w tej kwestii jedynie na terenach przekroczeń poziomu docelowego benzopirenu powoduje, że w sprawny sposób działając jedynie na ok 0,8% ogólnej powierzchni strefy, uzyskuje się radykalną poprawę bytowania prawie 1/4 wszystkich mieszkańców strefy zachodniopomorskiej.</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Należy się zgodzić z uwagą, iż wprowadzenie całkowitego zakazu spalania paliw stałych takich jak węgiel i biomasa spowodowałoby radykalną poprawę jakości powietrza w kontekście substancji takich jak pyły czy benzo(a)piren. Jednakże transformacja energetyczna jest procesem, który musi uwzględniać realne możliwości jej realizacji i być realizowana w czasie. Osiągnięcie zadowalającej jakości powietrza jest celem działania zarówno instytucji Unii Europejskiej, jak i krajowych. Aktualnie obowiązująca Polityka Energetyczna Polski zakłada odejście od spalania węgla w gospodarstwach domowych w miastach do 2030 r., a na obszarach wiejskich do 2040 r.; przy utrzymaniu możliwości wykorzystania paliwa bezdymnego do 2040 r. Procedowane aktualnie regulacje zmierzają do przyspieszenia tych procesów. Zaostrzane są także wymagania zarówno dla instalacji do spalania paliw, jak i</w:t>
            </w:r>
            <w:r w:rsidRPr="003A3A9E">
              <w:rPr>
                <w:rFonts w:ascii="Arial" w:hAnsi="Arial" w:cs="Arial"/>
                <w:sz w:val="20"/>
                <w:szCs w:val="20"/>
              </w:rPr>
              <w:t> </w:t>
            </w:r>
            <w:r w:rsidRPr="003A3A9E">
              <w:rPr>
                <w:rFonts w:ascii="Arial" w:hAnsi="Arial" w:cs="Arial"/>
                <w:color w:val="000000"/>
                <w:sz w:val="20"/>
                <w:szCs w:val="20"/>
              </w:rPr>
              <w:t>jakości dopuszczanych paliw. Tym samym wprowadzenie całkowitego zakazu spalania paliw stałych byłoby niezgodne z obowiązującymi przepisami prawa, w szczególności z przyjętą uchwałą antysmogową dla woj. zachodniopomorskiego. W związku z powyższym nie ma możliwości wprowadzenia zakazu spalania paliw stałych.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2) Uchwały rad gmin nie mają nadrzędnej mocy prawnej nad prawodawstwem krajowym czy unijnym. Gminy nie mogą same wprowadzić takiego zakazu. </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3) W gestii samorządów jest opracowywanie szczegółowych treści edukacji ekologicznej, jak i procedur przeprowadzania kontroli na terenie gminy. </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nie</w:t>
            </w:r>
          </w:p>
        </w:tc>
      </w:tr>
      <w:tr w:rsidR="00344485" w:rsidRPr="003A3A9E" w:rsidTr="003B7ABA">
        <w:trPr>
          <w:trHeight w:val="765"/>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2</w:t>
            </w: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dotyczy Pkt 1.8.1- Kontrole palenisk</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Prowadzenie " systematycznej kontroli..."- co autor miał na myśli?</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Kontrole Straży Miejskiej dotyczące spalania odpadów odbywają się w razie ujawnienia lub podejrzenia wystąpienia nieprawidłowości tj., gdy strażnika miejskiego lub mieszkańca zaniepokoi zapach, kolor dymu wydobywającego się np. z instalacji grzewczej lub składowany materiał (np. płyty meblowe) sugerują, że są przeznaczone do spalenia.</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Przeprowadzamy wówczas kontrolę, podczas której, jeśli zajdzie taka potrzeba pobieramy próbki materiału z paleniska do badań laboratoryjnych (koszt badania jednej próbki wynosi 480,00 zł netto!). Nie przeprowadzamy kontroli, jeśli z komina nie wydobywa się dym lub jeśli jego kolor i zapach nie wykazuje cech nieprawidłowości. Oczywiście w sezonie grzewczym kontroli jest najwięcej i realizujemy każde zgłoszenie mieszkańca lub interwencję własną strażnika.</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Stąd moje pytanie: Na czym ma polegać ta systematyczność oraz w jaki sposób typować posesje do takich kontroli?</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W oparciu o przesłany wniosek zmodyfikowano zapisy dotyczące liczby kontroli. Tak, jak wnoszący uwagę zauważył, w pierwszej kolejności do liczby kontroli zapisanych w tabeli 22 zalicza się tzw. kontrole interwencyjne, czyli te następujące po zgłoszeniach o nieprawidłowościach. Jeśli do spełnienia liczby kontroli zapisanej w tab.22 brakuje działań, należy posłużyć się informacjami z Centralnej Ewidencji Emisyjności Budynków (CEEB), która zawiera dane na temat rodzajów eksploatowanych instalacji na terenie danej gminy. Kontrola taka może być celowa lub wyrywkowa, informacyjna i uzasadniona zbliżającym się wejściem w życie tzw. uchwały antysmogowej. </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773"/>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3</w:t>
            </w: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Poddany pod konsultacje projekt uchwały pozytywnie wyróżnia się tym, że czasowe ograniczenia eksploatacji kominków nie dotyczą urządzeń spełniających wymogi ekoprojektu. Jednak nowy program ochrony powietrza należałoby uzgodnić i zsynchronizować z aktualnymi wskaźnikami emisji dla źródeł spalania paliw o nominalnej mocy cieplnej ≤ 0,5 MW KOBiZE. KOBiZE PIB wyróżnia, oprócz urządzeń spełniających wymogi ekoprojektu, jeszcze inne rodzaje urządzeń niskoemisyjnych na drewno, czyli odnawialne źródło energii. Są to urządzenia wymienione w tabeli 24: Kotły i ogrzewacze pomieszczeń oznaczone niemiecką normą BImSchV2, lub certyfikatami: Blue Angel, Nordic Swan, Flammerverte, o nominalnej mocy cieplnej ≤ 0,05 MW. Zgodnie z UCHWAŁĄ Nr XXX/540/18 SEJMIKU WOJEWÓDZTWA ZACHODNIOPOMORSKIEGO z dnia 26 września 2018 r. w sprawie wprowadzenia na obszarze województwa zachodniopomorskiego ograniczeń i zakazów w zakresie eksploatacji instalacji, w których następuje spalanie paliw, urządzeń tych oddanych do eksploatacji do 10.10.2018 będzie można używać jeszcze do 31.12.2027. Nie ma zatem powodu, by program ochrony powietrza ograniczał ich eksploatację, skoro ich parametry emisji są porównywalne z parametrami emisji urządzeń ekoprojektowych.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Zakaz używania kominków w tzw. dni smogowe nie może dotyczyć żadnego rodzaju kominków niskoemisyjnych. Z programu należy usunąć wszelkie zapisy dyskryminujące drewno, które jest odnawialnym źródłem energii oraz wszelkie zapisy promujące gaz, który jest paliwem kopalnym.</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Drewno jest paliwem ekologicznym na każdym etapie jego przetwarzania i energetycznego wykorzystania. Produkcja drewna opałowego nie ma negatywnego wpływu na poziom zalesienia w Polsce a wręcz przeciwnie: stymuluje rozwój gospodarki przez zalesianie niezagospodarowanych gruntów i zapewnia miejsca pracy. Paliwa drzewne są w głównej mierze produktem ubocznym pozyskiwania i przetwarzania drewna pełnowartościowego wykorzystywanego w przemyśle meblarskim i w konstrukcjach drewnianych. Lokalne wykorzystywanie drewna przekłada się na minimalny ślad węglowy wynikający z transportu i przygotowania do wykorzystania jako stałego biopaliwa. Drewno z polskich lasów jako uboczny produkt gospodarki leśnej, jest powszechnie dostępne i niedrogie. W przypadku ogrzewania drewnem powstaje tyle samo dwutlenku węgla, ile wchłonęło ono podczas swojego wzrostu, czego rezultatem jest zerowy bilans emisji CO2. Jest to zgodne z polityką UE, której celem jest osiągnięcie neutralności klimatycznej do 2050 r. Używanie drewna, w przeciwieństwie do gazu, który jest paliwem kopalnym, nie wiąże się z emisją gazów cieplarnianych i pozwala na spełnienie wymaganego przez UE udziału OZE w miksie energetycznym. Badania kominków w warunkach rzeczywistych wykazały, że emisja pyłów mieści się w granicach wyznaczonych przez Ekoprojekt a emisja BaP jest 100 do 1000 razy niższa niż przewidują to normy.</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Wspomniane badania to:</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Badanie kominka w warunkach rzeczywistych wykonane w 2021 r. na zlecenie Ogólnopolskiego Stowarzyszenia Kominki i Piece przez Przedsiębiorstwo Badań i Ekspertyz Środowiska „SEPO” (Raport z badań o numerze 527/10-20/1 i publikacja w Science Direct https://authors.elsevier.com/c/1flQc7tDQ9Kmmo). Badanie to wykazało, że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emisja BaP z kominka jest o 95,8% niższa niż przewiduje to wskaźnik EMEP i o 97,5% niższa od wskaźnika Krajowej Bazy KOBiZE.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Badanie kominka w warunkach rzeczywistych wykonane na zlecenie firmy Hajduk przez Instytut Chemicznej Przeróbki Węgla (obecnie Instytut Technologii Paliw i Energii) w 2022 r. (Nr ewidencyjny IChPW 47/2022). Badanie to wykazało, że emisja BaP z kominka jest o 98,3% niższa niż przewiduje to wskaźnik EMEP i aż o 99 % niższa od wskaźnika Krajowej Bazy KOBiZE.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Drewno jest najtańszym, lokalnym i najłatwiej dostępnym źródłem energii a jednocześnie paliwem odnawialnym. Drewno zastępuje importowane paliwa co prowadzi do wzrostu zatrudnienia w regionie przy pracy w lasach, pozyskiwaniu i przetwórstwie drewna. Pracownicy zatrudnieni w regionie wydają zarobione pieniądze w regionie. Import paliw powoduje odpływ pieniędzy z regionu. Zakazy i ograniczenia eksploatacji kominków należy zastąpić edukacją na temat prawidłowego spalania.</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Programy Ochrony Powietrza powinny być tworzone z dbałością o bezpieczeństwo energetyczne obywateli poprzez promowanie niskoemisyjnych ogrzewaczy pomieszczeń opalanych odnawialną biomasą leśną, na równi z innymi urządzeniami zasilanymi OZE (jak np. pompy ciepła, fotowoltaika). Przepisy takie nie mogą prowadzić do powstawania lub zwiększania zjawiska ubóstwa energetycznego.</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Importowane paliwa – gaz, węgiel, energia elektryczna – są droższe niż paliwa lokalne, takie jak drewno. W sytuacjach klęsk żywiołowych lub kryzysu energetycznego są one też trudno dostępne.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Ograniczenia dla drewna lub ograniczenia eksploatacji urządzeń na drewno w oczywisty sposób powodują większe koszty dla gospodarstw domowych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 obliczu rosnących cen gazu, braku pewności co do ciągłości dostaw tego surowca oraz zawieszenia przez dostawców gazu wykonywania nowych przyłączy, wszelkie ograniczenia możliwości używania biomasy prowadzą wprost do ubóstwa energetycznego i godzą w bezpieczeństwo energetyczne uzależniając ludzi od dużych sieci przesyłowych i skazując na monopol dostawców i związane z tym wysokie ceny. Ograniczenia i zakazy dla najtańszego, lokalnego i odnawialnego źródła energii jakim jest drewno w oczywisty sposób pogarszają i tak trudną sytuację osób najuboższych. Inne źródła energii lub nowoczesne i drogie technologie są dla osób najuboższych po prostu nieosiągalne. Program przez swoje dotychczasowe zapisy prowadzi do powstawania zjawiska ubóstwa energetycznego. POP wielokrotnie mówi o preferencjach dla przyłączania do sieci gazowej. Promocja przez obecny program gazu, który paliwem kopalnym przy jednoczesnych ograniczeniach eksploatacji i nierównym traktowaniu urządzeń na drewno (OZE) doprowadziły do tego, że wymiana starych, wysokoemisyjnych urządzeń na nowoczesne, niskoemisyjne nie przebiega w zadowalającym tempie. Postulujemy rewizję programu ochrony powietrza pod kątem usunięcia zapisów promujących gaz,</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ogrzewanie gazem i rozbudowę sieci gazowej. Takie zapisy prowadzą wprost do promowania gazu (z importu), który jest paliwem kopalnym kosztem drewna będącego odnawialnym i ekologicznym źródłem energii. </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Projekt nadal w wielu miejscach posługuje się pojęciem "paliwa stałe" bez rozróżnienia, czy chodzi o paliwa stałe kopalne (węgiel i paliwa produkowane z jego udziałem) czy o paliwa stałe odnawialne (biomasa, drewno i pellet). Np w części "Termomodernizacja obiektów budowlanych" znajdujemy zapis: "W celu osiągnięcia najlepszego efektu ekologicznego termomodernizacja powinna być przeprowadzona kompleksowo. Wiąże się to z wymianą lub likwidacją źródeł ciepła na paliwo stałe."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Postulujemy wprowadzenie, stosowanie i wyraźnego rozgraniczenia pojęć „biopaliwa stałe odnawialne” (np. drewno pellet, biomasa) i „paliwa stałe kopalne”. Taki podział obowiązuje w przepisach Unii Europejskiej oraz Rzeczpospolitej Polskiej. </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POP wielokrotnie mówi o preferencjach dla instalacji i wymiany źródeł ciepła na OZE wyłączając z zakresu tego pojęcia drewno i biomasę, które zgodnie z ustawą o OZE są odnawialnymi źródłami energii.</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 tym kontekście cały POP jest wadliwy, ponieważ opiera się na błędnym i niezgodnym z polskim stanem prawnym założeniu, że drewno i biomasa, które są paliwami stałymi, nie są odnawialnymi źródłami energii. Konsekwencją takiego podejścia jest dyskryminacja stałych odnawialnych źródeł energii przejawiająca się m.in. w pomijaniu ich przy programach dotacyjnych lub w niesłusznych preferencjach dla gazu, który jest paliwem kopalnym, dla pomp ciepła (w naszych warunkach nie są one OZE, gdyż działają na prąd pozyskiwany ze spalania paliw kopalnych) lub dla innych OZE. Zaktualizowany Program oprócz zniesienia zakazów i ograniczeń eksploatacji urządzeń na drewno, powinien uwzględniać promocję drewna (odnawialnego źródła energii) i urządzeń na drewno, edukację w zakresie prawidłowego spalania oraz działania zmierzające do eliminacji spalania śmieci w gospodarstwach domowych.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Niestety założenia do aktualizacji Programu Ochrony Powietrza powielają błędy obecnie obowiązującego programu, o których wspomnieliśmy powyżej:</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wymiana starych urządzeń grzewczych na urządzenia opalane gazem lub olejem (paliwa kopalne)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rozbudowa i modernizacja sieci gazowej</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Korzystnym elementem założeń jest zwrócenie uwagi na konieczność wdrożenia działań edukacyjnych oraz informacyjno-promocyjnych dotyczących problemów związanych z niską emisją oraz zanieczyszczeniem powietrza pod warunkiem, że przekazywane informacje będą rzetelne i prawdziwe. W tej kwestii zapraszamy Urząd Marszałkowski i osoby odpowiedzialne za wdrażanie programu ochrony powietrza do współpracy z naszym Stowarzyszeniem, które dysponuje gruntowną wiedzą oraz badaniami na temat emisji z urządzeń na drewno, które jest odnawialnym paliwem stałym.</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Zapisy zostały zmodyfikowane. </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841"/>
        </w:trPr>
        <w:tc>
          <w:tcPr>
            <w:tcW w:w="147" w:type="pct"/>
            <w:vMerge w:val="restart"/>
            <w:tcBorders>
              <w:top w:val="nil"/>
              <w:left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4</w:t>
            </w: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1. Ograniczenia używania kominków w tzw. dni smogowe nie mogą dotyczyć kominków spełniających wymogi Rozporządzenia o ekoprojekcie. Z programu należy usunąć wszelkie zapisy dyskryminujące drewno, które jest odnawialnym źródłem energii oraz wszelkie zapisy promujące gaz, który jest paliwem kopalnym.</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Zapisy zostały zmodyfikowane.</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697"/>
        </w:trPr>
        <w:tc>
          <w:tcPr>
            <w:tcW w:w="147" w:type="pct"/>
            <w:vMerge/>
            <w:tcBorders>
              <w:left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2. Postulujemy wprowadzenie, stosowanie i wyraźne rozgraniczenie w programie ochrony powietrza pojęć „biopaliwa stałe odnawialne” (np. drewno pellet, biomasa) i „paliwa stałe kopalne”. Taki podział obowiązuje w przepisach Unii Europejskiej oraz Rzeczpospolitej Polskiej.</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Zapisy zostały zmodyfikowane</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707"/>
        </w:trPr>
        <w:tc>
          <w:tcPr>
            <w:tcW w:w="147" w:type="pct"/>
            <w:vMerge/>
            <w:tcBorders>
              <w:left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3. Postulujemy uwzględnienie w programie ochrony powietrza miejscowych ogrzewaczy pomieszczeń i zastosowanie do nich odpowiednich zapisów. Chodzi o zapisy uniemożliwiające wprowadzanie ograniczeń eksploatacji takich urządzeń i zapisy umożliwiające stosowanie dotacji i wspieranie wymiany urządzeń starych na nowe miejscowe ogrzewacze spełniające wymogi Rozporządzenia o ekoprojekcie.</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Zapisy zostały zmodyfikowane.</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548"/>
        </w:trPr>
        <w:tc>
          <w:tcPr>
            <w:tcW w:w="147" w:type="pct"/>
            <w:vMerge/>
            <w:tcBorders>
              <w:left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4. Postulujemy rewizję programu ochrony powietrza pod kątem usunięcia zapisów promujących gaz, ogrzewanie gazem i rozbudowę sieci gazowej. Takie zapisy prowadzą wprost do promowania gazu (głównie z importu), który jest paliwem kopalnym kosztem drewna będącego odnawialnym i ekologicznym źródłem energii.</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Zapisy zostały zmodyfikowane.</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570"/>
        </w:trPr>
        <w:tc>
          <w:tcPr>
            <w:tcW w:w="147" w:type="pct"/>
            <w:vMerge/>
            <w:tcBorders>
              <w:left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5. W celu znacznie szybszej redukcji smogu oraz bezkosztowego ograniczenia ubóstwa energetycznego postulujemy wdrożenie „Uchwały o prawidłowym spalaniu” (https://www.facebook.com/UOPSpl) oraz edukację mieszkańców o czystym spalaniu paliw stałych zgodnie z zaleceniami dostępnymi na stronie czysteogrzewanie.pl</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Kwestia opracowania szczegółowych treści edukacji ekologicznej jest w gestii samorządów lokalnych.</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nie</w:t>
            </w:r>
          </w:p>
        </w:tc>
      </w:tr>
      <w:tr w:rsidR="00344485" w:rsidRPr="003A3A9E" w:rsidTr="003B7ABA">
        <w:trPr>
          <w:trHeight w:val="765"/>
        </w:trPr>
        <w:tc>
          <w:tcPr>
            <w:tcW w:w="147" w:type="pct"/>
            <w:vMerge/>
            <w:tcBorders>
              <w:left w:val="single" w:sz="4" w:space="0" w:color="auto"/>
              <w:bottom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Dodatkowe informacje: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Używanie urządzeń spełniających wymagania Rozporządzenia o ekoprojekcie na drewno nie ma istotnego wpływu na jakość powietrza. Jeśli ktoś twierdzi, że jest inaczej dla tej grupy urządzeń, to powinien przedstawić badania naukowe, które by to potwierdzały. Takich badań nie ma, więc i zakazów być nie może. Zwłaszcza dotyczących używania drewna kawałkowego, które ma najmniejszy z paliw ślad węglowy i nie da się do niego dodać zanieczyszczeń.</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Podstawowym błędem technicznym i merytorycznym wielu proponowanych przepisów jest stosowanie pojęcia „paliwa stałe” przez co dochodzi do zestawienia i jednakowego potraktowania przez projekt uchwały drewna i pelletu, które są odnawialnymi źródłami energii z węglem, który jest paliwem kopalnym.</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Biomasa drzewna – to biopaliwo stałe, niekopalne – zalecane do powszechnego stosowania w Unii Europejskiej dyrektywą PARLAMENTU EUROPEJSKIEGO I RADY (UE) 2018/2001 z dnia 11 grudnia 2018 r. Drewno kawałkowe, zrębki, pellet, brykiet to produkty biomasy drzewnej, które zgodnie z art.2 pkt.3 i 7a Ustawy z</w:t>
            </w:r>
            <w:r w:rsidRPr="003A3A9E">
              <w:rPr>
                <w:rFonts w:ascii="Arial" w:hAnsi="Arial" w:cs="Arial"/>
                <w:sz w:val="20"/>
                <w:szCs w:val="20"/>
              </w:rPr>
              <w:t> </w:t>
            </w:r>
            <w:r w:rsidRPr="003A3A9E">
              <w:rPr>
                <w:rFonts w:ascii="Arial" w:hAnsi="Arial" w:cs="Arial"/>
                <w:color w:val="000000"/>
                <w:sz w:val="20"/>
                <w:szCs w:val="20"/>
              </w:rPr>
              <w:t>dnia 20 lutego 2015 r. o odnawialnych źródłach energii, dalej jako ustawa o OZE – są zaliczane do odnawialnych źródeł energii.</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Celem nadrzędnym uwago Polskiego Forum Klimatycznego jest dostosowanie przepisów lokalnych do zasady zrównoważonego rozwoju mającej w Polsce status prawa podstawowego (art. 5 Konstytucji RP). Obecny POP oraz proponowane zmiany nie spełniają tej zasady, co jest działaniem szkodliwym dla mieszkańców, których te przepisy dotyczą oraz jest narażeniem Władz Samorządowych na zasadne skargi zgłaszane przez mieszkańców do właściwych sądów.</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Wnosimy o uwzględnienie naszych uwag.</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p>
        </w:tc>
      </w:tr>
      <w:tr w:rsidR="00344485" w:rsidRPr="003A3A9E" w:rsidTr="003B7ABA">
        <w:trPr>
          <w:trHeight w:val="765"/>
        </w:trPr>
        <w:tc>
          <w:tcPr>
            <w:tcW w:w="147" w:type="pct"/>
            <w:vMerge w:val="restart"/>
            <w:tcBorders>
              <w:top w:val="nil"/>
              <w:left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5</w:t>
            </w: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1. MCK wnosi o zapisanie konieczności edukacji mieszkańców województwa zachodniopomorskiego o odpowiedniej eksploatacji i utrzymaniu w czystości kominów dymowych, spalinowych oraz wentylacyjnych, co ma bardzo istotny wpływa na bezpieczeństwo oraz jakość powietrza. Nasz cech służy fachowym doradztwem oraz materiałami, które propagujemy w ramach naszej ogólnopolskiej akcji „Sadza płonie, czad zabija, żyj".</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Kwestia opracowania szczegółowych treści edukacji ekologicznej jest w gestii samorządów lokalnych. </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nie</w:t>
            </w:r>
          </w:p>
        </w:tc>
      </w:tr>
      <w:tr w:rsidR="00344485" w:rsidRPr="003A3A9E" w:rsidTr="003B7ABA">
        <w:trPr>
          <w:trHeight w:val="765"/>
        </w:trPr>
        <w:tc>
          <w:tcPr>
            <w:tcW w:w="147" w:type="pct"/>
            <w:vMerge/>
            <w:tcBorders>
              <w:left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2. Ograniczenia, zakazy lub nawet rekomendacje ograniczeń używania kominków w tzw. dni smogowe nie może dotyczyć kominków spełniających wymogi ekoprojektu.</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Zapisy zostały zmodyfikowane.</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765"/>
        </w:trPr>
        <w:tc>
          <w:tcPr>
            <w:tcW w:w="147" w:type="pct"/>
            <w:vMerge/>
            <w:tcBorders>
              <w:left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3. Postulujmy wprowadzenie, stosowanie i wyraźne rozgraniczenie w programie ochrony powietrza pojęć „biopaliwa stałe odnawialne" (np. drewno pellet, biomasa) i „paliwa stałe kopalne*'. Taki podział obowiązuje w przepisach Unii Europejskiej oraz Rzeczpospolitej Polskiej.</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Zapisy zostały zmodyfikowane.</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765"/>
        </w:trPr>
        <w:tc>
          <w:tcPr>
            <w:tcW w:w="147" w:type="pct"/>
            <w:vMerge/>
            <w:tcBorders>
              <w:left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4. Postulujemy uwzględnienie w programie ochrony powietrza rekomendacji i zaleceń w działaniach podstawowych wymiany pozaklasowych urządzeń grzewczych na obsługiwane ręcznie kotły i miejscowej ogrzewacze pomieszczeń na drewno kawałkowe, które spełniają normy ekoprojektu (czyli nie niszczą powietrza, mają znikomy wpływ na jego zanieczyszczenie). Bez takiego zalecenia mieszkańcy nie będą chętnie wymieniać starych urządzeń grzewczych, bo rozumieją, że drewno kawałkowe to najtańsze i powszechnie dostępne odnawialne źródło energii.</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Zapisy zostały zmodyfikowane.</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tak</w:t>
            </w:r>
          </w:p>
        </w:tc>
      </w:tr>
      <w:tr w:rsidR="00344485" w:rsidRPr="003A3A9E" w:rsidTr="003B7ABA">
        <w:trPr>
          <w:trHeight w:val="765"/>
        </w:trPr>
        <w:tc>
          <w:tcPr>
            <w:tcW w:w="147" w:type="pct"/>
            <w:vMerge/>
            <w:tcBorders>
              <w:left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5. Wnosimy o uwzględnienie w POP edukacji o prawidłowym spalaniu paliw stałych i działań mających na celu ustanowienie na terenie województwa zachodniopomorskiego zapisów „Uchwały o prawidłowym spalaniu" (https://www.facebook.com/UOPSpl). Pozwoli to dopilnować stosowanie prawidłowego spalania przez mieszkańców. Taki zapis jest kluczowy w sytuacji stosowania urządzeń na paliwa stałe - zarówno bezklasowych jak i klasy 3 i 4. Bezdymne spalanie pozwala ograniczyć emisję pyłów z bezklasowych urządzeń o 50-80% a benzoapirenu do 90%. To pozwoli poprawić jakość powietrza pomimo dalszej eksploatacji najbardziej dotychczas trujących urządzeń. Dodatkowo bezdymne spalanie właśnie w tych starych urządzeniach pozwoli ograniczyć zużycie paliwa do 30%, co jest znakomitym remedium na ubóstwo energetyczne oraz ogromny kryzys energetyczny wynikający z aktualnej sytuacji geopolitycznej.</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Kwestia opracowania szczegółowych treści edukacji ekologicznej jest w gestii samorządów lokalnych</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nie</w:t>
            </w:r>
          </w:p>
        </w:tc>
      </w:tr>
      <w:tr w:rsidR="00344485" w:rsidRPr="003A3A9E" w:rsidTr="003B7ABA">
        <w:trPr>
          <w:trHeight w:val="765"/>
        </w:trPr>
        <w:tc>
          <w:tcPr>
            <w:tcW w:w="147" w:type="pct"/>
            <w:vMerge/>
            <w:tcBorders>
              <w:left w:val="single" w:sz="4" w:space="0" w:color="auto"/>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6. W celu zapewnienia bezpieczeństwa energetycznego wnosimy o zachęcanie mieszkańców do posiadania komina w każdym domu, tzw. „komina awaryjnego- komina bezpieczeństwa". Elektryczne i gazowe źródła ciepła przestają działać w przypadku problemów z dostawami prądu. Grozi to poważnymi konsekwencjami dla rodzin, które nie posiadają komina awaryjnego-bezpieczeństwa. Do komina awaryjnego może być podpięte urządzenie na odnawialną biomasę (kominek, koza, piec, piecokuchnia), które nie wymaga zasilania elektrycznego. Drewno jest najtańszym i łatwo dostępnym paliwem, a w urządzeniach spełniających wymogi ekoprojektu (dziś tylko takie są na rynku) nie mają istotnego wpływu na zanieczyszczenie powietrza. Mogą za to uratować zdrowie i życie mieszkańców.</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Kwestia opracowania szczegółowych treści edukacji ekologicznej jest w gestii samorządów lokalnych</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nie</w:t>
            </w:r>
          </w:p>
        </w:tc>
      </w:tr>
      <w:tr w:rsidR="00344485" w:rsidRPr="003A3A9E" w:rsidTr="003B7ABA">
        <w:trPr>
          <w:trHeight w:val="684"/>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6</w:t>
            </w:r>
          </w:p>
        </w:tc>
        <w:tc>
          <w:tcPr>
            <w:tcW w:w="2340"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1.</w:t>
            </w:r>
            <w:r w:rsidRPr="003A3A9E">
              <w:rPr>
                <w:rFonts w:ascii="Arial" w:hAnsi="Arial" w:cs="Arial"/>
                <w:color w:val="000000"/>
                <w:sz w:val="20"/>
                <w:szCs w:val="20"/>
              </w:rPr>
              <w:t xml:space="preserve"> Zakaz używania kominków w tzw. dni smogowe nie może dotyczyć kominków spełniających wymogi ekoprojektu. </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2.</w:t>
            </w:r>
            <w:r w:rsidRPr="003A3A9E">
              <w:rPr>
                <w:rFonts w:ascii="Arial" w:hAnsi="Arial" w:cs="Arial"/>
                <w:color w:val="000000"/>
                <w:sz w:val="20"/>
                <w:szCs w:val="20"/>
              </w:rPr>
              <w:t xml:space="preserve"> Z programu należy usunąć wszelkie zapisy dyskryminujące drewno, które jest odnawialnym źródłem energii oraz wszelkie zapisy promujące gaz, który jest paliwem kopalnym.</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3.</w:t>
            </w:r>
            <w:r w:rsidRPr="003A3A9E">
              <w:rPr>
                <w:rFonts w:ascii="Arial" w:hAnsi="Arial" w:cs="Arial"/>
                <w:color w:val="000000"/>
                <w:sz w:val="20"/>
                <w:szCs w:val="20"/>
              </w:rPr>
              <w:t xml:space="preserve"> Postuluję usunięcie zakazów używania niskoemisyjnych urządzeń na odnawialne drewno niespełniających wymagań ekoprojektu wymienionych w tabeli 24 (wytycznych Ministerstwa Klimatu i Środowiska dla POP): Kotły i ogrzewacze pomieszczeń oznaczone niemiecką normą BImSchV2, lub certyfikatami: Blue Angel, Nordic Swan, Flammerverte, o nominalnej mocy cieplnej ≤ 0,05 MW</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4.</w:t>
            </w:r>
            <w:r w:rsidRPr="003A3A9E">
              <w:rPr>
                <w:rFonts w:ascii="Arial" w:hAnsi="Arial" w:cs="Arial"/>
                <w:color w:val="000000"/>
                <w:sz w:val="20"/>
                <w:szCs w:val="20"/>
              </w:rPr>
              <w:t xml:space="preserve"> Postuluję wprowadzenie, stosowanie i wyraźne rozgraniczenie w programie ochrony powietrza pojęć „biopaliwa stałe odnawialne” (np. drewno pellet, biomasa) i „paliwa stałe kopalne”. Taki podział obowiązuje w przepisach Unii Europejskiej oraz Rzeczpospolitej Polskiej.</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5.</w:t>
            </w:r>
            <w:r w:rsidRPr="003A3A9E">
              <w:rPr>
                <w:rFonts w:ascii="Arial" w:hAnsi="Arial" w:cs="Arial"/>
                <w:color w:val="000000"/>
                <w:sz w:val="20"/>
                <w:szCs w:val="20"/>
              </w:rPr>
              <w:t xml:space="preserve"> Postuluję uwzględnienie w programie ochrony powietrza miejscowych ogrzewaczy pomieszczeń i zastosowanie do nich odpowiednich zapisów. Chodzi o zapisy uniemożliwiające wprowadzanie ograniczeń eksploatacji takich urządzeń i zapisy umożliwiające stosowanie dotacji i wspieranie wymiany urządzeń starych na nowe miejscowe ogrzewacze spełniające wymogi ekoprojeku.</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6.</w:t>
            </w:r>
            <w:r w:rsidRPr="003A3A9E">
              <w:rPr>
                <w:rFonts w:ascii="Arial" w:hAnsi="Arial" w:cs="Arial"/>
                <w:b/>
                <w:bCs/>
                <w:color w:val="000000"/>
                <w:sz w:val="20"/>
                <w:szCs w:val="20"/>
              </w:rPr>
              <w:t xml:space="preserve"> </w:t>
            </w:r>
            <w:r w:rsidRPr="003A3A9E">
              <w:rPr>
                <w:rFonts w:ascii="Arial" w:hAnsi="Arial" w:cs="Arial"/>
                <w:color w:val="000000"/>
                <w:sz w:val="20"/>
                <w:szCs w:val="20"/>
              </w:rPr>
              <w:t>Postuluję rewizję programu ochrony powietrza pod kątem usunięcia zapisów promujących gaz, ogrzewanie gazem i rozbudowę sieci gazowej. Takie zapisy prowadzą wprost do promowania gazu, który jest paliwem kopalnym, kosztem drewna będącego odnawialnym i ekologicznym źródłem energii.</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7.</w:t>
            </w:r>
            <w:r w:rsidRPr="003A3A9E">
              <w:rPr>
                <w:rFonts w:ascii="Arial" w:hAnsi="Arial" w:cs="Arial"/>
                <w:b/>
                <w:bCs/>
                <w:color w:val="000000"/>
                <w:sz w:val="20"/>
                <w:szCs w:val="20"/>
              </w:rPr>
              <w:t xml:space="preserve"> </w:t>
            </w:r>
            <w:r w:rsidRPr="003A3A9E">
              <w:rPr>
                <w:rFonts w:ascii="Arial" w:hAnsi="Arial" w:cs="Arial"/>
                <w:color w:val="000000"/>
                <w:sz w:val="20"/>
                <w:szCs w:val="20"/>
              </w:rPr>
              <w:t>W celu znacznie szybszej redukcji smogu oraz bezkosztowego ograniczenia ubóstwa energetycznego postuluję wdrożenie „Uchwały o prawidłowym spalaniu” (https://www.facebook.com/UOPSpl) lub co najmniej wspierania edukacji o prawidłowym (bezdymnym) ogrzewaniu za pomocą paliw stałych.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Dodatkowe informacje: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Poddany pod konsultacje projekt uchwały pozytywnie wyróżnia się tym, że czasowe ograniczenia eksploatacji kominków nie dotyczą urządzeń spełniających wymogi ekoprojektu.</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Jednak nowy program ochrony powietrza należałoby uzgodnić i zsynchronizować z aktualnymi wskaźnikami emisji dla źródeł spalania paliw o nominalnej mocy cieplnej ≤ 0,5 MW KOBiZE. KOBiZE PIB wyróżnia oprócz urządzeń spełniających wymogi ekoprojektu jeszcze inne rodzaje urządzeń niskoemisyjnych na drewno, czyli odnawialne źródło energii. Są to urządzenia wymienione w tabeli 24 (wytycznych Ministerstwa Klimatu i Środowiska dla POP): Kotły i ogrzewacze pomieszczeń oznaczone niemiecką normą BImSchV2, lub certyfikatami: Blue Angel, Nordic Swan, Flammerverte, o nominalnej mocy cieplnej ≤ 0,05 MW.</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Zgodnie z UCHWAŁĄ Nr XXX/540/18 SEJMIKU WOJEWÓDZTWA ZACHODNIOPOMORSKIEGO z dnia 26 września 2018 r. w sprawie wprowadzenia na obszarze województwa zachodniopomorskiego ograniczeń i zakazów w zakresie eksploatacji instalacji, w których następuje spalanie paliw, urządzeń tych oddanych do eksploatacji do 10.10.2018 będzie można używać jeszcze do 31.12.2027. Nie ma zatem powodu, by program ochrony powietrza ograniczał ich eksploatację, skoro ich parametry emisji są porównywalne z parametrami emisji urządzeń ekoprojektowych.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Zakaz używania kominków w tzw. dni smogowe nie może dotyczyć żadnego rodzaju kominków niskoemisyjnych. Z programu należy usunąć wszelkie zapisy dyskryminujące drewno, które jest odnawialnym źródłem energii oraz wszelkie zapisy promujące gaz, który jest paliwem kopalnym.</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Drewno jest paliwem ekologicznym na każdym etapie jego przetwarzania i energetycznego wykorzystania. Produkcja drewna opałowego nie ma negatywnego wpływu na poziom zalesienia w Polsce a wręcz przeciwnie: stymuluje rozwój gospodarki przez zalesianie niezagospodarowanych gruntów i zapewnia miejsca pracy. Paliwa drzewne są w głównej mierze produktem ubocznym pozyskiwania i przetwarzania drewna pełnowartościowego wykorzystywanego w przemyśle meblarskim i w konstrukcjach drewnianych. Lokalne wykorzystywanie drewna przekłada się na minimalny ślad węglowy wynikający z transportu i przygotowania do wykorzystania jako stałego biopaliwa. Drewno z polskich lasów jako uboczny produkt gospodarki leśnej, jest powszechnie dostępne i niedrogie.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 przypadku ogrzewania drewnem powstaje tyle samo dwutlenku węgla, ile wchłonęło ono podczas swojego wzrostu, czego rezultatem jest zerowy bilans emisji CO2. Jest to zgodne z polityką UE, której celem jest osiągnięcie neutralności klimatycznej do 2050 r. Używanie drewna, w przeciwieństwie do gazu, który jest paliwem kopalnym, nie wiąże się z emisją gazów cieplarnianych i pozwala na spełnienie wymaganego przez UE udziału OZE w miksie energetycznym.</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Badania kominków w warunkach rzeczywistych wykazały, że emisja pyłów mieści się w granicach wyznaczonych przez Ekoprojekt a emisja BaP jest 100 do 1000 razy niższa niż przewidują to normy.</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Wspomniane badania to:</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1. Badanie kominka w warunkach rzeczywistych wykonane w 2021 r. na zlecenie Ogólnopolskiego Stowarzyszenia Kominki i Piece przez Przedsiębiorstwo Badań i Ekspertyz Środowiska „SEPO” (Raport z badań o numerze 527/10-20/1 i publikacja w Science Direct https://authors.elsevier.com/c/1flQc7tDQ9Kmmo). Badanie to wykazało, że emisja BaP z kominka jest o 95,8% niższa niż przewiduje to wskaźnik EMEP i o 97,5% niższa od wskaźnika Krajowej Bazy KOBiZE.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2. Badanie kominka w warunkach rzeczywistych wykonane na zlecenie firmy Hajduk przez Instytut Chemicznej Przeróbki Węgla (obecnie Instytut Technologii Paliw i Energii) w 2022 r. (Nr ewidencyjny IChPW 47/2022). Badanie to wykazało, że emisja BaP z kominka jest o 98,3% niższa niż przewiduje to wskaźnik EMEP i aż o 99 % niższa od wskaźnika Krajowej Bazy KOBiZE.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Drewno jest najtańszym, lokalnym i najłatwiej dostępnym źródłem energii a jednocześnie paliwem odnawialnym. Drewno zastępuje importowane paliwa co prowadzi do wzrostu zatrudnienia w regionie przy pracy w lasach, pozyskiwaniu i przetwórstwie drewna. Pracownicy zatrudnieni w regionie wydają zarobione pieniądze w regionie. Import paliw powoduje odpływ pieniędzy z regionu.</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Zakazy i ograniczenia eksploatacji kominków należy zastąpić edukacją na temat prawidłowego spalania.</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Programy Ochrony Powietrza powinny być tworzone z dbałością o bezpieczeństwo energetyczne obywateli poprzez promowanie niskoemisyjnych ogrzewaczy pomieszczeń opalanych odnawialną biomasą leśną, na równi z innymi urządzeniami zasilanymi OZE (jak np. pompy ciepła, fotowoltaika). Przepisy takie nie mogą prowadzić do powstawania lub zwiększania zjawiska ubóstwa energetycznego.</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Importowane paliwa – gaz, węgiel, energia elektryczna – są droższe niż paliwa lokalne, takie jak drewno. W sytuacjach klęsk żywiołowych lub kryzysu energetycznego są one też trudno dostępne. Ograniczenia dla drewna lub ograniczenia eksploatacji urządzeń na drewno w oczywisty sposób powodują większe koszty dla gospodarstw domowych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 obliczu rosnących cen gazu, braku pewności co do ciągłości dostaw tego surowca oraz zawieszenia przez dostawców gazu wykonywania nowych przyłączy, wszelkie ograniczenia możliwości używania biomasy prowadzą wprost do ubóstwa energetycznego i godzą w bezpieczeństwo energetyczne uzależniając ludzi od dużych sieci przesyłowych i skazując na monopol dostawców i związane z tym wysokie ceny.</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Ograniczenia i zakazy dla najtańszego, lokalnego i odnawialnego źródła energii jakim jest drewno w oczywisty sposób pogarszają i tak trudną sytuację osób najuboższych. Inne źródła energii lub nowoczesne i drogie technologie są dla osób najuboższych po prostu nieosiągalne. Program przez swoje dotychczasowe zapisy prowadzi do powstawania zjawiska ubóstwa energetycznego.</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POP wielokrotnie mówi o preferencjach dla przyłączania do sieci gazowej. Promocja przez obecny program gazu, który paliwem kopalnym przy jednoczesnych ograniczeniach eksploatacji i nierównym traktowaniu urządzeń na drewno (OZE) doprowadziły do tego, że wymiana starych, wysokoemisyjnych urządzeń na nowoczesne, niskoemisyjne nie przebiega w zadowalającym tempie.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Konieczna jest rewizja programu ochrony powietrza pod kątem usunięcia zapisów promujących gaz, ogrzewanie gazem i rozbudowę sieci gazowej. Takie zapisy prowadzą wprost do promowania gazu (z importu), który jest paliwem kopalnym kosztem drewna będącego odnawialnym i ekologicznym źródłem energii.</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Projekt nadal w wielu miejscach posługuje się pojęciem "paliwa stałe" bez rozróżnienia, czy chodzi o paliwa stałe kopalne (węgiel i paliwa produkowane z jego udziałem) czy o paliwa stałe odnawialne (biomasa, drewno i pellet). Np w części "Termomodernizacja obiektów budowlanych" znajdujemy zapis: "W celu osiągnięcia najlepszego efektu ekologicznego termomodernizacja powinna być przeprowadzona kompleksowo. Wiąże się to z wymianą lub likwidacją źródeł ciepła na paliwo stałe."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Dlatego trzeba wprowadzić stosowanie i wyraźne rozgraniczenia pojęć „biopaliwa stałe odnawialne” (np. drewno pellet, biomasa) i „paliwa stałe kopalne”. Taki podział obowiązuje w przepisach Unii Europejskiej oraz Rzeczpospolitej Polskiej.</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POP wielokrotnie mówi o preferencjach dla instalacji i wymiany źródeł ciepła na OZE wyłączając z zakresu tego pojęcia drewno i biomasę, które zgodnie z ustawą o OZE są odnawialnymi źródłami energii.</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 tym kontekście cały POP jest wadliwy, ponieważ opiera się na błędnym i niezgodnym z polskim stanem prawnym założeniu, że drewno i biomasa, które są paliwami stałymi, nie są odnawialnymi źródłami energii.</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Konsekwencją takiego podejścia jest dyskryminacja stałych odnawialnych źródeł energii przejawiająca się m.in. w pomijaniu ich przy programach dotacyjnych lub w niesłusznych preferencjach dla gazu, który jest paliwem kopalnym, dla pomp ciepła (w naszych warunkach nie są one OZE, gdyż działają na prąd pozyskiwany ze spalania paliw kopalnych) lub dla innych OZE.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Zaktualizowany Program oprócz zniesienia zakazów i ograniczeń eksploatacji urządzeń na drewno, powinien uwzględniać promocję drewna (odnawialnego źródła energii) i urządzeń na drewno, edukację w zakresie prawidłowego spalania oraz działania zmierzające do eliminacji spalania śmieci w gospodarstwach domowych.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Niestety założenia do aktualizacji Programu Ochrony Powietrza powielają błędy obecnie obowiązującego programu, o których wspomnieliśmy powyżej:</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wymiana starych urządzeń grzewczych na urządzenia opalane gazem lub olejem (paliwa kopalne)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rozbudowa i modernizacja sieci gazowej</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Korzystnym elementem założeń jest zwrócenie uwagi na konieczność wdrożenia działań edukacyjnych oraz informacyjno-promocyjnych dotyczących problemów związanych z niską emisją oraz zanieczyszczeniem powietrza pod warunkiem, że przekazywane informacje będą rzetelne i prawdziwe.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 związku z kryzysem energetycznym mieszkańcy Polski zrozumieli, że bezpieczeństwo energetyczne w gospodarstwie domowym najlepiej zabezpiecza się mając możliwość ogrzewania tanim i powszechnie dostępnym drewnem kawałkowym i z tego nigdy nie zrezygnują. Prawidłowy (bezdymny) sposób spalania paliw stałych jest możliwy niemal w każdym urządzeniu tego typu. Zaniedbania systemowe w zakresie edukacji to prawdopodobnie główna przyczyna problemów smogowych. Dlatego edukacja o prawidłowym spalaniu powinna być głównym elementem redukcji emisji zanieczyszczeń do powietrza w sektorze komunalno-bytowym. Edukację taką prowadzi się w wielu krajach Unii Europejskiej a z sukcesem i na wielką skalę przeprowadzono taką edukację w Szwajcarii. W przepisach lokalnym powinno się też zastosować elementy „Uchwały o prawidłowym spalaniu”.</w:t>
            </w:r>
          </w:p>
        </w:tc>
        <w:tc>
          <w:tcPr>
            <w:tcW w:w="2039"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Ad.1 – 6 Zapisy zostały zmodyfikowane.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Ad.7. Kwestia opracowania szczegółowych treści edukacji ekologicznej jest w gestii samorządów lokalnych</w:t>
            </w:r>
          </w:p>
        </w:tc>
        <w:tc>
          <w:tcPr>
            <w:tcW w:w="474" w:type="pct"/>
            <w:tcBorders>
              <w:top w:val="nil"/>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Ad.1-6 – tak</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Ad.7 - nie</w:t>
            </w:r>
          </w:p>
        </w:tc>
      </w:tr>
      <w:tr w:rsidR="00344485" w:rsidRPr="003A3A9E" w:rsidTr="003B7ABA">
        <w:trPr>
          <w:trHeight w:val="744"/>
        </w:trPr>
        <w:tc>
          <w:tcPr>
            <w:tcW w:w="147" w:type="pct"/>
            <w:tcBorders>
              <w:top w:val="single" w:sz="4" w:space="0" w:color="auto"/>
              <w:left w:val="single" w:sz="4" w:space="0" w:color="auto"/>
              <w:bottom w:val="single" w:sz="4" w:space="0" w:color="auto"/>
              <w:right w:val="single" w:sz="4" w:space="0" w:color="auto"/>
            </w:tcBorders>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7</w:t>
            </w:r>
          </w:p>
        </w:tc>
        <w:tc>
          <w:tcPr>
            <w:tcW w:w="2340" w:type="pct"/>
            <w:tcBorders>
              <w:top w:val="single" w:sz="4" w:space="0" w:color="auto"/>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Przedmiotem działalności rzemiosła zduńskiego jest nie tylko budowa nowoczesnych, ekologicznych i zapewniających funkcję dodatkowego alternatywnego ogrzewania kominków czy wolnostojących / przenośnych piecyków kominkowych, ale przede wszystkim budowa ciężkich akumulacyjnych pieców pokojowych – kaflowych lub tynkowanych, które będą stanowić najtańsze podstawowe/główne ogrzewanie budynków mieszkalnych w sposób stabilny – czyli uniezależniony od warunków pogodowych, pory dnia i konieczności dopływu prądu w okresie grzewczym, oraz autonomiczny - czyli bezobsługowy przez 8 – 24 godz., w oparciu o wykorzystanie naszego największego i powszechnie dostępnego odnawialnego źródła energii (OZE), jakim jest biomasa drzewna. </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Stworzenie w nowym POP warunków wsparcia i rozwoju stosowania tego rodzaju technologii OZE jako sposobu na niezależne indywidualne ogrzewanie budynków mieszkalnych, pozwoliłoby w najtańszy sposób zwiększyć skuteczność i przyśpieszyć realizację europejskich celów klimatycznych oraz transformacji energetycznej w kierunku dekarbonizacji, zyskując równocześnie duże poparcie społeczne. Ponadto, te same koszty, które obecnie w programie Czyste Powietrze przeznacza się na wymianę jednego „starego kopciucha” wraz z wymaganą termomodernizacją budynku, można by przeznaczyć na dopłatę do zainstalowania zduńskich pieców do podstawowego ogrzewania drewnem w kilku domach, bez potrzeby przeprowadzania kosztownej ich termomodernizacji. Zgodnie bowiem z dyrektywą PE i R 2010/31/UE z dnia 19 maja 2010 r. i implementującymi ją rozporządzeniami MIR, przy zapewnieniu komfortu cieplnego budynku biomasą, wymagania wpływające na konieczność termoizolacyjności są ponad 5-ciokrotnie niższe.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Niestety, od ponad 10 lat stosowanie biomasy drzewnej do celów grzewczych w mieszkaniowych piecach i kominkach, było w ramach wprowadzanych w dotychczasowych POP-ach działań naprawczych, w różny sposób ograniczane – a nawet jak w Krakowie wykluczone. Przyczyną było przypisywanie im wysokiej emisyjności, na podstawie wadliwie przyjmowanego zawyżonego krajowego wskaźnika emisji pyłów PM (ok. 800 g/GJ). Dziś ta przyczyna decyzją MKIŚ z lipca ub. roku została już usunięta, ponieważ zaktualizowane przez KOBIZE „Wytyczne do przeprowadzania inwentaryzacji emisji na potrzeby programów ochrony powietrza” zawierają europejskie wskaźniki emisji wyznaczane wg zasad agencji EMEP/EEA. Przeprowadzone przez ekspertów branży zduńskiej oszacowanie wielkości zagregowanego krajowego wskaźnika pyłów – mimo niepełnych jeszcze danych z inwentaryzacji CEEBU – pozwoliło na skorygowanie wskaźnika emisji pyłów i wyznaczenie go na poziomie 10-cio krotnie niższym (ok. 80 g/GJ lub 173 g/GJ z kondensatem) - co równocześnie potwierdza zasadność zmiany w POP oceny wpływu spalania drewna na stężenia zanieczyszczeń i przewidziane działania naprawcze. Uzasadnia to również konieczność właściwej identyfikacji do POP rzeczywistych źródeł zanieczyszczania powietrza, na przykład przez zastosowanie metod receptorowych.</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Została w ten sposób podważona, dotychczas bezpodstawnie upowszechniana przez różnych tzw. działaczy antysmogowych, pejoratywna opinia o rzekomej „bardzo wysokiej” emisyjności spalania drewna w mieszkaniowych piecach i kominkach. Nowe okoliczności pozwalają, by nowy POP wprowadził rozwiązania i działania naprawcze, które przyczynią się do upowszechnienia stosowania drewna jako OZE dla celów grzewczych – tak w istniejących jak i w nowych instalacjach, a zwłaszcza w instalacjach budowanych w miejsce wycofywanych opartych na kopalnych źródłach energii – głównie węglu i gazie GZ. Ponieważ koszt ogrzewania drewnem opałowym może kształtować się średnio na poziomie 100 zł/MWh, mieszkańcy w ten sposób mogą być ochronieni przed wysokim wzrostem kosztów ogrzewania, będącym konsekwencją dotychczasowego sposobu realizowania transformacji energetycznej i dekarbonizacji, która nie uwzględnia wspierania rozwoju stosowania do celów grzewczych zasilanych biomasą drzewną mieszkaniowych pieców czy kominków. Niestety dotychczas przyjęte systemy wsparcia (np. program Czyste Powietrze) przewidują jedynie dotacje do konkurencyjnych urządzeń grzewczych na biomasę – promując kotły grzewcze lub inne technologie OZE, mimo że ich stosowanie uwarunkowane jest ponoszeniem wysokich kosztów na termomodernizację i wysokim stopniem uzależnienia od energii elektrycznej. Przywrócenie zrównoważonego traktowania mieszkaniowych ogrzewaczy pomieszczeń w krajowym miksie energetycznym i wsparcie mieszkańców w rozwoju stosowania biomasy drzewnej jako najtańszego a zarazem zapewniającego całkowitą niezależność energetyczną źródła ciepła, mogłoby zyskać wielkie uznanie społeczne (jakże istotne w okresie kampanii wyborczej). Ponieważ zdecydowana większość budynków posiada technicznie warunki umożliwiające ich ogrzewanie drewnem, dlatego udzielanie wsparcia bardzo szerokiej grupie możliwych użytkowników tej technologii grzewczej, mogłoby przyczynić się do znacznego wzrostu poparcia dla tych, którzy umożliwili obejmujący również taką technologię grzewczą, sposób na transformację energetyczną.</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Oczywiście jako najskuteczniejszy i najszybszy sposób na poprawę jakości powietrza, powinien on zyskać poparcie tych wszystkich, którym rzeczywiście zależy na czystym powietrzu, a także tych, którzy nie chcą by wysokimi kosztami dotychczasowego sposobu transformacji, nadal w tak wysokim stopniu były obciążane gospodarstwa domowe. Uważamy, że na małą skuteczność dotychczasowych działań naprawczych, znacząco wpływa również brak możliwości pozyskiwania wsparcia do wymiany starych „kopciuchów” głównie węglowych, na niskoemisyjne mieszkaniowe ogrzewacze pomieszczeń zasilane biomasą drzewną, które mogą stanowić główne i autonomiczne źródła ogrzewania.</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W tej sytuacji branża zduńska proponuje wprowadzenie do nowego POP - u następujących rozwiązań i działań naprawczych:</w:t>
            </w:r>
          </w:p>
          <w:p w:rsidR="00344485" w:rsidRPr="003A3A9E" w:rsidRDefault="00344485" w:rsidP="003963F3">
            <w:pPr>
              <w:spacing w:before="120"/>
              <w:rPr>
                <w:rFonts w:ascii="Arial" w:hAnsi="Arial" w:cs="Arial"/>
                <w:color w:val="000000"/>
                <w:sz w:val="20"/>
                <w:szCs w:val="20"/>
              </w:rPr>
            </w:pPr>
            <w:bookmarkStart w:id="1" w:name="_Hlk142312815"/>
            <w:r w:rsidRPr="003A3A9E">
              <w:rPr>
                <w:rFonts w:ascii="Arial" w:hAnsi="Arial" w:cs="Arial"/>
                <w:bCs/>
                <w:color w:val="000000"/>
                <w:sz w:val="20"/>
                <w:szCs w:val="20"/>
              </w:rPr>
              <w:t>1.</w:t>
            </w:r>
            <w:r w:rsidRPr="003A3A9E">
              <w:rPr>
                <w:rFonts w:ascii="Arial" w:hAnsi="Arial" w:cs="Arial"/>
                <w:b/>
                <w:bCs/>
                <w:color w:val="000000"/>
                <w:sz w:val="20"/>
                <w:szCs w:val="20"/>
              </w:rPr>
              <w:t xml:space="preserve"> </w:t>
            </w:r>
            <w:r w:rsidRPr="003A3A9E">
              <w:rPr>
                <w:rFonts w:ascii="Arial" w:hAnsi="Arial" w:cs="Arial"/>
                <w:color w:val="000000"/>
                <w:sz w:val="20"/>
                <w:szCs w:val="20"/>
              </w:rPr>
              <w:t>Wyliczenie efektu ekologicznego na podstawie szczegółowych wskaźników z Załącznika Nr.1 KOBIZE i wprowadzonego w nim podziału urządzeń na Grupy, dla których kwalifikację urządzeń z branży zduńskiej przedstawiamy w załączeniu.</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2.</w:t>
            </w:r>
            <w:r w:rsidRPr="003A3A9E">
              <w:rPr>
                <w:rFonts w:ascii="Arial" w:hAnsi="Arial" w:cs="Arial"/>
                <w:b/>
                <w:bCs/>
                <w:color w:val="000000"/>
                <w:sz w:val="20"/>
                <w:szCs w:val="20"/>
              </w:rPr>
              <w:t xml:space="preserve"> </w:t>
            </w:r>
            <w:r w:rsidRPr="003A3A9E">
              <w:rPr>
                <w:rFonts w:ascii="Arial" w:hAnsi="Arial" w:cs="Arial"/>
                <w:color w:val="000000"/>
                <w:sz w:val="20"/>
                <w:szCs w:val="20"/>
              </w:rPr>
              <w:t>Usunięcie dotychczasowych ograniczeń w stosowaniu biomasy drzewnej w niskoemisyjnych mieszkaniowych piecach i kominkach – w tym krakowskiego totalnego zakazu jej spalania.</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3.</w:t>
            </w:r>
            <w:r w:rsidRPr="003A3A9E">
              <w:rPr>
                <w:rFonts w:ascii="Arial" w:hAnsi="Arial" w:cs="Arial"/>
                <w:b/>
                <w:bCs/>
                <w:color w:val="000000"/>
                <w:sz w:val="20"/>
                <w:szCs w:val="20"/>
              </w:rPr>
              <w:t xml:space="preserve"> </w:t>
            </w:r>
            <w:r w:rsidRPr="003A3A9E">
              <w:rPr>
                <w:rFonts w:ascii="Arial" w:hAnsi="Arial" w:cs="Arial"/>
                <w:color w:val="000000"/>
                <w:sz w:val="20"/>
                <w:szCs w:val="20"/>
              </w:rPr>
              <w:t>Wprowadzenie możliwości stosowania mieszkaniowych ogrzewaczy pomieszczeń zasilanych biomasą drzewną, na podobnych zasadach jak w innych krajach europejskich, tj. na warunkach określonych w Ekoprojekcie i obowiązujących normach PN-EN 16510.1; 15540; 15250;</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 xml:space="preserve">4. </w:t>
            </w:r>
            <w:r w:rsidRPr="003A3A9E">
              <w:rPr>
                <w:rFonts w:ascii="Arial" w:hAnsi="Arial" w:cs="Arial"/>
                <w:color w:val="000000"/>
                <w:sz w:val="20"/>
                <w:szCs w:val="20"/>
              </w:rPr>
              <w:t>Przy wymianie starych urządzeń grzewczych spalających paliwa kopalne (głównie węgiel, gaz GZ) na niskoemisyjne mieszkaniowe ogrzewacze pomieszczeń zasilane biomasą drzewną, które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zapewniają podstawowe ogrzewanie - wprowadzenie systemów promocji i wsparcia takich jak przy montażu i użytkowaniu kotłów na biomasę.</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5.</w:t>
            </w:r>
            <w:r w:rsidRPr="003A3A9E">
              <w:rPr>
                <w:rFonts w:ascii="Arial" w:hAnsi="Arial" w:cs="Arial"/>
                <w:b/>
                <w:bCs/>
                <w:color w:val="000000"/>
                <w:sz w:val="20"/>
                <w:szCs w:val="20"/>
              </w:rPr>
              <w:t xml:space="preserve"> </w:t>
            </w:r>
            <w:r w:rsidRPr="003A3A9E">
              <w:rPr>
                <w:rFonts w:ascii="Arial" w:hAnsi="Arial" w:cs="Arial"/>
                <w:color w:val="000000"/>
                <w:sz w:val="20"/>
                <w:szCs w:val="20"/>
              </w:rPr>
              <w:t>Do nowobudowanych instalacji akumulacyjnych mieszkaniowych ogrzewaczy pomieszczeń na biomasę drzewną, zapewniających podstawowy komfort grzewczy w sposób autonomiczny w okresie grzewczym powyżej 8 godzin, jeżeli dodatkowo zostały wyposażone w automatyczny termostatyczny sterownik procesem spalania i zostały wykonane przez rzemieślnika zduna posiadającego potwierdzone kwalifikacje zawodowe, - wprowadzenie systemu dopłaty do ich montażu w równowartości 3000 Euro.</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6.</w:t>
            </w:r>
            <w:r w:rsidRPr="003A3A9E">
              <w:rPr>
                <w:rFonts w:ascii="Arial" w:hAnsi="Arial" w:cs="Arial"/>
                <w:b/>
                <w:bCs/>
                <w:color w:val="000000"/>
                <w:sz w:val="20"/>
                <w:szCs w:val="20"/>
              </w:rPr>
              <w:t xml:space="preserve"> </w:t>
            </w:r>
            <w:r w:rsidRPr="003A3A9E">
              <w:rPr>
                <w:rFonts w:ascii="Arial" w:hAnsi="Arial" w:cs="Arial"/>
                <w:color w:val="000000"/>
                <w:sz w:val="20"/>
                <w:szCs w:val="20"/>
              </w:rPr>
              <w:t>Przy przebudowie tradycyjnych, indywidualnie projektowanych i budowanych pieców kaflowych związanej z ich modernizacją na niskoemisyjne urządzenia przeznaczone wyłącznie do spalania biomasy drzewnej, posiadające paleniska bezrusztowe i przeciwprądowy system przepływu powietrza w komorze spalania (tzw. „spalanie od góry”), oraz posiadające potwierdzenie spełnienia wymogów Ekoprojektu na podstawie normy PN-EN 15544, pod warunkiem wykonania przebudowy przez uprawnionego zduna posiadającego potwierdzone kwalifikacje zawodowe - wprowadzenie systemu dopłaty do ich przebudowy w wysokości 1500 Euro.</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7.</w:t>
            </w:r>
            <w:r w:rsidRPr="003A3A9E">
              <w:rPr>
                <w:rFonts w:ascii="Arial" w:hAnsi="Arial" w:cs="Arial"/>
                <w:b/>
                <w:bCs/>
                <w:color w:val="000000"/>
                <w:sz w:val="20"/>
                <w:szCs w:val="20"/>
              </w:rPr>
              <w:t xml:space="preserve"> </w:t>
            </w:r>
            <w:r w:rsidRPr="003A3A9E">
              <w:rPr>
                <w:rFonts w:ascii="Arial" w:hAnsi="Arial" w:cs="Arial"/>
                <w:color w:val="000000"/>
                <w:sz w:val="20"/>
                <w:szCs w:val="20"/>
              </w:rPr>
              <w:t>Utrzymanie warunków użytkowania starych instalacji mieszkaniowych ogrzewaczy pomieszczeń wybudowanych przed 1 lipca 2017 na dotychczasowych zasadach, przyjętych w małopolskiej Uchwale Antysmogowej z 23 stycznia 2017 r.</w:t>
            </w:r>
          </w:p>
          <w:p w:rsidR="00344485" w:rsidRPr="003A3A9E" w:rsidRDefault="00344485" w:rsidP="003963F3">
            <w:pPr>
              <w:spacing w:before="120"/>
              <w:rPr>
                <w:rFonts w:ascii="Arial" w:hAnsi="Arial" w:cs="Arial"/>
                <w:color w:val="000000"/>
                <w:sz w:val="20"/>
                <w:szCs w:val="20"/>
              </w:rPr>
            </w:pPr>
            <w:r w:rsidRPr="003A3A9E">
              <w:rPr>
                <w:rFonts w:ascii="Arial" w:hAnsi="Arial" w:cs="Arial"/>
                <w:bCs/>
                <w:color w:val="000000"/>
                <w:sz w:val="20"/>
                <w:szCs w:val="20"/>
              </w:rPr>
              <w:t>8.</w:t>
            </w:r>
            <w:r w:rsidRPr="003A3A9E">
              <w:rPr>
                <w:rFonts w:ascii="Arial" w:hAnsi="Arial" w:cs="Arial"/>
                <w:b/>
                <w:bCs/>
                <w:color w:val="000000"/>
                <w:sz w:val="20"/>
                <w:szCs w:val="20"/>
              </w:rPr>
              <w:t xml:space="preserve"> </w:t>
            </w:r>
            <w:r w:rsidRPr="003A3A9E">
              <w:rPr>
                <w:rFonts w:ascii="Arial" w:hAnsi="Arial" w:cs="Arial"/>
                <w:color w:val="000000"/>
                <w:sz w:val="20"/>
                <w:szCs w:val="20"/>
              </w:rPr>
              <w:t>W obliczeniach stosowanych do inwentaryzacji POP, przyjąć do wyliczania efektu ekologicznego wskaźniki dla pyłu bez kondensatu - a do modelowania z kondensatem, w wysokości wg zasad przekazanych przez MKIŚ w lipcu 2022 r. i w oparciu o wysokości w podziale na grupy urządzeń wskazane przez EMEP/EEA a przedstawione w załączonej tabelce.</w:t>
            </w:r>
          </w:p>
          <w:bookmarkEnd w:id="1"/>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Ponieważ proponowana wysokość dopłat będzie przy wymianie czy budowie instalacji zduńskich, generowała koszty nieporównywalnie mniejsze niż przy stosowanym obecnie systemie dopłat w programie Czyste Powietrze, dlatego wprowadzenie do POP proponowanych przez branżę rozwiązań, powinno w rezultacie spowodować znacznie szybszą i skuteczniejszą – bo tańszą i bardziej społecznie akceptowalną wymianę starych wysokoemisyjnych urządzeń na nowe, spełniające wymogi europejskie. Przyjęcie nowych rozwiązań stworzy warunki do rozwoju indywidualnego ogrzewania domów drewnem, w sposób który nie powoduje negatywnego oddziaływania na zdrowie ludzi i na środowisko, oraz na przyjęcie realnych wskaźników emisji do modelowania, dzięki czemu przyczyni się do szybszej poprawy jakości powietrza w Krakowie i innych miejscowościach województwa małopolskiego. Ponieważ nowy zagregowany wskaźnik jest 10 krotnie niższy niż przyjęty jako podstawa zakazu palenia w Krakowie biomasą drzewną, zaistniały warunki, w których Uchwała Antysmogowa dla Krakowa powinna zostać uchylona, tym bardziej że POŚ wskazuje na możliwość zastosowania ograniczeń technicznych dla urządzeń spalających paliwa.</w:t>
            </w:r>
          </w:p>
        </w:tc>
        <w:tc>
          <w:tcPr>
            <w:tcW w:w="2039" w:type="pct"/>
            <w:tcBorders>
              <w:top w:val="single" w:sz="4" w:space="0" w:color="auto"/>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Ad.1. Wyliczenia takie są w Programie przeprowadzone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Ad.2 i 3 – Zapisy zostały zmodyfikowane. </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 xml:space="preserve">Ad.4 - 6 - Ten postulat dotyczy przede wszystkim krajowych programów dofinansowujących, w POP natomiast znajdą się zapisy wskazujące możliwość wymiany na urządzenia grzewcze spełniające aktualne przepisy prawne. </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Ad.7 i 8 - Uwaga nie dotyczy woj. Zachodniopomorskiego.</w:t>
            </w:r>
          </w:p>
          <w:p w:rsidR="00344485" w:rsidRPr="003A3A9E" w:rsidRDefault="00344485" w:rsidP="003963F3">
            <w:pPr>
              <w:spacing w:before="120"/>
              <w:rPr>
                <w:rFonts w:ascii="Arial" w:hAnsi="Arial" w:cs="Arial"/>
                <w:color w:val="000000"/>
                <w:sz w:val="20"/>
                <w:szCs w:val="20"/>
              </w:rPr>
            </w:pPr>
          </w:p>
        </w:tc>
        <w:tc>
          <w:tcPr>
            <w:tcW w:w="474" w:type="pct"/>
            <w:tcBorders>
              <w:top w:val="single" w:sz="4" w:space="0" w:color="auto"/>
              <w:left w:val="nil"/>
              <w:bottom w:val="single" w:sz="4" w:space="0" w:color="auto"/>
              <w:right w:val="single" w:sz="4" w:space="0" w:color="auto"/>
            </w:tcBorders>
            <w:shd w:val="clear" w:color="auto" w:fill="auto"/>
            <w:vAlign w:val="center"/>
          </w:tcPr>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Ad.1 – nie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Ad.2 i 3 – tak</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Ad.4 – 6 – nie</w:t>
            </w:r>
          </w:p>
          <w:p w:rsidR="00344485" w:rsidRPr="003A3A9E" w:rsidRDefault="00344485" w:rsidP="003963F3">
            <w:pPr>
              <w:spacing w:before="120"/>
              <w:rPr>
                <w:rFonts w:ascii="Arial" w:hAnsi="Arial" w:cs="Arial"/>
                <w:color w:val="000000"/>
                <w:sz w:val="20"/>
                <w:szCs w:val="20"/>
              </w:rPr>
            </w:pPr>
            <w:r w:rsidRPr="003A3A9E">
              <w:rPr>
                <w:rFonts w:ascii="Arial" w:hAnsi="Arial" w:cs="Arial"/>
                <w:color w:val="000000"/>
                <w:sz w:val="20"/>
                <w:szCs w:val="20"/>
              </w:rPr>
              <w:t>Ad.7 i 8 – nie</w:t>
            </w:r>
          </w:p>
        </w:tc>
      </w:tr>
    </w:tbl>
    <w:p w:rsidR="008D34F8" w:rsidRPr="003A3A9E" w:rsidRDefault="008D34F8" w:rsidP="003963F3">
      <w:pPr>
        <w:spacing w:before="120"/>
        <w:rPr>
          <w:rFonts w:ascii="Arial" w:hAnsi="Arial" w:cs="Arial"/>
          <w:sz w:val="20"/>
          <w:szCs w:val="20"/>
        </w:rPr>
      </w:pPr>
    </w:p>
    <w:p w:rsidR="003963F3" w:rsidRPr="003A3A9E" w:rsidRDefault="003963F3">
      <w:pPr>
        <w:rPr>
          <w:rFonts w:ascii="Arial" w:hAnsi="Arial" w:cs="Arial"/>
          <w:sz w:val="20"/>
          <w:szCs w:val="20"/>
        </w:rPr>
      </w:pPr>
    </w:p>
    <w:sectPr w:rsidR="003963F3" w:rsidRPr="003A3A9E" w:rsidSect="008D34F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20"/>
    <w:rsid w:val="00104D1E"/>
    <w:rsid w:val="001371A4"/>
    <w:rsid w:val="0014121F"/>
    <w:rsid w:val="00142A9E"/>
    <w:rsid w:val="001633CF"/>
    <w:rsid w:val="001A095B"/>
    <w:rsid w:val="001C5EDC"/>
    <w:rsid w:val="00201E0B"/>
    <w:rsid w:val="0021187A"/>
    <w:rsid w:val="00344485"/>
    <w:rsid w:val="003876EE"/>
    <w:rsid w:val="003963F3"/>
    <w:rsid w:val="003A3A9E"/>
    <w:rsid w:val="003E1DF3"/>
    <w:rsid w:val="003F0A80"/>
    <w:rsid w:val="004904C7"/>
    <w:rsid w:val="00510E8A"/>
    <w:rsid w:val="005E2A52"/>
    <w:rsid w:val="00632BBA"/>
    <w:rsid w:val="006B365E"/>
    <w:rsid w:val="00774FDF"/>
    <w:rsid w:val="007B651C"/>
    <w:rsid w:val="007E2F76"/>
    <w:rsid w:val="00844F08"/>
    <w:rsid w:val="008D34F8"/>
    <w:rsid w:val="008E00DA"/>
    <w:rsid w:val="009B7521"/>
    <w:rsid w:val="009C66FD"/>
    <w:rsid w:val="009D2ECB"/>
    <w:rsid w:val="00A33145"/>
    <w:rsid w:val="00A61520"/>
    <w:rsid w:val="00A70A5C"/>
    <w:rsid w:val="00A71738"/>
    <w:rsid w:val="00A744B5"/>
    <w:rsid w:val="00B157C4"/>
    <w:rsid w:val="00B56250"/>
    <w:rsid w:val="00B60DCB"/>
    <w:rsid w:val="00B75E06"/>
    <w:rsid w:val="00C52C6A"/>
    <w:rsid w:val="00C87C96"/>
    <w:rsid w:val="00D46F1C"/>
    <w:rsid w:val="00EB75D5"/>
    <w:rsid w:val="00F478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536E"/>
  <w15:docId w15:val="{8CBEF3CD-4E47-455F-8253-3B6015E5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1520"/>
    <w:pPr>
      <w:autoSpaceDE w:val="0"/>
      <w:autoSpaceDN w:val="0"/>
      <w:adjustRightInd w:val="0"/>
      <w:spacing w:after="0" w:line="240" w:lineRule="auto"/>
      <w:jc w:val="both"/>
    </w:pPr>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A095B"/>
    <w:rPr>
      <w:rFonts w:ascii="Tahoma" w:hAnsi="Tahoma" w:cs="Tahoma"/>
      <w:sz w:val="16"/>
      <w:szCs w:val="16"/>
    </w:rPr>
  </w:style>
  <w:style w:type="character" w:customStyle="1" w:styleId="TekstdymkaZnak">
    <w:name w:val="Tekst dymka Znak"/>
    <w:basedOn w:val="Domylnaczcionkaakapitu"/>
    <w:link w:val="Tekstdymka"/>
    <w:uiPriority w:val="99"/>
    <w:semiHidden/>
    <w:rsid w:val="001A095B"/>
    <w:rPr>
      <w:rFonts w:ascii="Tahoma" w:eastAsia="Times New Roman" w:hAnsi="Tahoma" w:cs="Tahoma"/>
      <w:sz w:val="16"/>
      <w:szCs w:val="16"/>
      <w:lang w:eastAsia="pl-PL"/>
    </w:rPr>
  </w:style>
  <w:style w:type="paragraph" w:styleId="Tekstpodstawowy">
    <w:name w:val="Body Text"/>
    <w:basedOn w:val="Normalny"/>
    <w:link w:val="TekstpodstawowyZnak"/>
    <w:uiPriority w:val="99"/>
    <w:semiHidden/>
    <w:unhideWhenUsed/>
    <w:rsid w:val="003963F3"/>
    <w:pPr>
      <w:autoSpaceDE/>
      <w:autoSpaceDN/>
      <w:adjustRightInd/>
      <w:spacing w:after="120"/>
      <w:jc w:val="left"/>
    </w:pPr>
    <w:rPr>
      <w:sz w:val="24"/>
      <w:szCs w:val="24"/>
    </w:rPr>
  </w:style>
  <w:style w:type="character" w:customStyle="1" w:styleId="TekstpodstawowyZnak">
    <w:name w:val="Tekst podstawowy Znak"/>
    <w:basedOn w:val="Domylnaczcionkaakapitu"/>
    <w:link w:val="Tekstpodstawowy"/>
    <w:uiPriority w:val="99"/>
    <w:semiHidden/>
    <w:rsid w:val="003963F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93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7076</Words>
  <Characters>42457</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Tybuchowicz  Aneta (GOŚĆ)</cp:lastModifiedBy>
  <cp:revision>2</cp:revision>
  <cp:lastPrinted>2020-06-30T10:22:00Z</cp:lastPrinted>
  <dcterms:created xsi:type="dcterms:W3CDTF">2023-09-25T08:41:00Z</dcterms:created>
  <dcterms:modified xsi:type="dcterms:W3CDTF">2023-09-25T08:41:00Z</dcterms:modified>
</cp:coreProperties>
</file>