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6C" w:rsidRPr="002B2C4F" w:rsidRDefault="00857D6C" w:rsidP="00857D6C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2B2C4F">
        <w:rPr>
          <w:rFonts w:ascii="Myriad Pro" w:eastAsia="Times New Roman" w:hAnsi="Myriad Pro" w:cs="Arial"/>
          <w:i/>
          <w:sz w:val="20"/>
          <w:szCs w:val="20"/>
          <w:lang w:eastAsia="pl-PL"/>
        </w:rPr>
        <w:t>Załącznik nr 2</w:t>
      </w:r>
      <w:r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do ogłoszenia o naborze</w:t>
      </w:r>
    </w:p>
    <w:p w:rsidR="00857D6C" w:rsidRDefault="00857D6C" w:rsidP="00857D6C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857D6C" w:rsidRPr="002B2C4F" w:rsidRDefault="00857D6C" w:rsidP="00857D6C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2B2C4F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Kryteria oceny przedsięwzięcia </w:t>
      </w:r>
    </w:p>
    <w:p w:rsidR="00857D6C" w:rsidRPr="002B2C4F" w:rsidRDefault="00857D6C" w:rsidP="00857D6C">
      <w:pPr>
        <w:snapToGrid w:val="0"/>
        <w:spacing w:before="120" w:after="120" w:line="24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5259"/>
        <w:gridCol w:w="1186"/>
        <w:gridCol w:w="1276"/>
        <w:gridCol w:w="376"/>
        <w:gridCol w:w="50"/>
        <w:gridCol w:w="709"/>
      </w:tblGrid>
      <w:tr w:rsidR="00857D6C" w:rsidRPr="002B2C4F" w:rsidTr="007C340D">
        <w:trPr>
          <w:trHeight w:val="294"/>
        </w:trPr>
        <w:tc>
          <w:tcPr>
            <w:tcW w:w="466" w:type="dxa"/>
            <w:shd w:val="clear" w:color="auto" w:fill="DBE5F1"/>
            <w:vAlign w:val="center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Arial"/>
                <w:b/>
                <w:color w:val="FF0000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8856" w:type="dxa"/>
            <w:gridSpan w:val="6"/>
            <w:shd w:val="clear" w:color="auto" w:fill="DBE5F1"/>
            <w:vAlign w:val="center"/>
          </w:tcPr>
          <w:p w:rsidR="00857D6C" w:rsidRPr="002B4CAE" w:rsidRDefault="00857D6C" w:rsidP="00857D6C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ind w:left="527" w:hanging="167"/>
              <w:rPr>
                <w:rFonts w:ascii="Myriad Pro" w:hAnsi="Myriad Pro" w:cs="Arial"/>
                <w:b/>
                <w:color w:val="0070C0"/>
              </w:rPr>
            </w:pPr>
            <w:r w:rsidRPr="002B4CAE">
              <w:rPr>
                <w:rFonts w:ascii="Myriad Pro" w:hAnsi="Myriad Pro" w:cs="Arial"/>
                <w:b/>
                <w:color w:val="0070C0"/>
              </w:rPr>
              <w:t>Kryteria formalne:</w:t>
            </w:r>
          </w:p>
          <w:p w:rsidR="00857D6C" w:rsidRPr="002B4CAE" w:rsidRDefault="00857D6C" w:rsidP="007C340D">
            <w:pPr>
              <w:pStyle w:val="Akapitzlist"/>
              <w:snapToGrid w:val="0"/>
              <w:spacing w:line="276" w:lineRule="auto"/>
              <w:ind w:left="385"/>
              <w:rPr>
                <w:rFonts w:ascii="Myriad Pro" w:hAnsi="Myriad Pro" w:cs="Arial"/>
                <w:b/>
                <w:color w:val="0070C0"/>
              </w:rPr>
            </w:pPr>
            <w:r w:rsidRPr="002B4CAE">
              <w:rPr>
                <w:rFonts w:ascii="Myriad Pro" w:hAnsi="Myriad Pro" w:cs="Arial"/>
                <w:sz w:val="16"/>
              </w:rPr>
              <w:t>Uwaga: jeśli fisze projektowe zostaną złożone po terminie (kryterium 1-2) nie podlegają ocenie i zostają odrzucone bez rozpatrzenia. W przypadku niespełnienia wymogów określonych w pkt 3-5 WZS  może zwrócić się o ich uzupełnienie we wskazanym przez siebie terminie  (poprawa oczywistych omyłek).</w:t>
            </w: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Czy fisza projektowa została złożona w przewidzianym terminie  do Wydziału 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Zarządzania Strategicznego</w:t>
            </w: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(decyduje data stempla pocztowego)?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Czy przekazano elektroniczną wersję fiszy projektowej w formacie Word na adres </w:t>
            </w:r>
            <w:hyperlink r:id="rId6" w:history="1">
              <w:r w:rsidRPr="002B4CAE">
                <w:rPr>
                  <w:rStyle w:val="Hipercze"/>
                  <w:rFonts w:ascii="Myriad Pro" w:eastAsia="Times New Roman" w:hAnsi="Myriad Pro" w:cs="Arial"/>
                  <w:sz w:val="20"/>
                  <w:szCs w:val="20"/>
                  <w:lang w:eastAsia="pl-PL"/>
                </w:rPr>
                <w:t>wzs@wzp.pl</w:t>
              </w:r>
            </w:hyperlink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w przewidzianym terminie?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Czy fisza została złożona na odpowiednim formularzu?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Czy wszystkie pola fiszy zostały uzupełnione?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Czy pola fiszy zostały uzupełnione zgodnie z instrukcją?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rPr>
          <w:trHeight w:val="304"/>
        </w:trPr>
        <w:tc>
          <w:tcPr>
            <w:tcW w:w="466" w:type="dxa"/>
            <w:shd w:val="clear" w:color="auto" w:fill="DBE5F1"/>
            <w:vAlign w:val="center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Arial"/>
                <w:b/>
                <w:color w:val="0070C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856" w:type="dxa"/>
            <w:gridSpan w:val="6"/>
            <w:shd w:val="clear" w:color="auto" w:fill="DBE5F1"/>
            <w:vAlign w:val="center"/>
          </w:tcPr>
          <w:p w:rsidR="00857D6C" w:rsidRPr="002B4CAE" w:rsidRDefault="00857D6C" w:rsidP="00857D6C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ind w:left="527" w:hanging="167"/>
              <w:rPr>
                <w:rFonts w:ascii="Myriad Pro" w:hAnsi="Myriad Pro" w:cs="Arial"/>
                <w:b/>
                <w:color w:val="0070C0"/>
              </w:rPr>
            </w:pPr>
            <w:r w:rsidRPr="002B4CAE">
              <w:rPr>
                <w:rFonts w:ascii="Myriad Pro" w:hAnsi="Myriad Pro" w:cs="Arial"/>
                <w:b/>
                <w:color w:val="0070C0"/>
              </w:rPr>
              <w:t xml:space="preserve"> Kryteria dostępu: </w:t>
            </w:r>
          </w:p>
        </w:tc>
      </w:tr>
      <w:tr w:rsidR="00857D6C" w:rsidRPr="002B2C4F" w:rsidTr="007C340D">
        <w:tc>
          <w:tcPr>
            <w:tcW w:w="466" w:type="dxa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45" w:type="dxa"/>
            <w:gridSpan w:val="2"/>
            <w:shd w:val="clear" w:color="auto" w:fill="D9D9D9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Czy projekt spełnia wymagania wskazane w Szczegółowym Opisie Programu Operacyjnego POIŚ 2014-2020 dla działania 8.1 </w:t>
            </w:r>
            <w:r w:rsidRPr="002B4CAE">
              <w:rPr>
                <w:rFonts w:ascii="Myriad Pro" w:eastAsia="Times New Roman" w:hAnsi="Myriad Pro" w:cs="Arial"/>
                <w:i/>
                <w:iCs/>
                <w:sz w:val="20"/>
                <w:szCs w:val="20"/>
                <w:lang w:eastAsia="pl-PL"/>
              </w:rPr>
              <w:t>Ochrona dziedzictwa kulturowego i rozwój zasobów kultury</w:t>
            </w: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6" w:type="dxa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Czy wnioskodawca projektu kwalifikuje się do wsparcia?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Czy typ projektu przewidzianego do realizacji kwalifikuje się do wsparcia?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1c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Czy wstępny budżet przedsięwzięcia mieści się w limitach finansowych? (minimalna i maksymalna wartość projektu)?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1d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Czy montaż finansowy przedsięwzięcia jest prawidłowy?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Czy przedsięwzięcie realizuje cele VIII osi priorytetowej PO </w:t>
            </w:r>
            <w:proofErr w:type="spellStart"/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IiŚ</w:t>
            </w:r>
            <w:proofErr w:type="spellEnd"/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oraz przyczynia się do osiągnięcia oczekiwanych rezultatów (w odniesieniu do wskazanych w ramach wykonania wskaźników rzeczowo-finansowych)?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rPr>
          <w:trHeight w:val="819"/>
        </w:trPr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Czy beneficjent przedsięwzięcia posiada potencjał finansowy </w:t>
            </w: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br/>
              <w:t xml:space="preserve">i organizacyjny do realizacji projektu i utrzymania jego efektów w okresie trwałości? 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45" w:type="dxa"/>
            <w:gridSpan w:val="2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Czy wskazany w opisie przedsięwzięcia ostateczny odbiorca wsparcia jest zgodny z grupą docelową wskazaną w </w:t>
            </w:r>
            <w:proofErr w:type="spellStart"/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SzOOP</w:t>
            </w:r>
            <w:proofErr w:type="spellEnd"/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POIŚ ?</w:t>
            </w:r>
          </w:p>
        </w:tc>
        <w:tc>
          <w:tcPr>
            <w:tcW w:w="127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rPr>
          <w:trHeight w:val="304"/>
        </w:trPr>
        <w:tc>
          <w:tcPr>
            <w:tcW w:w="466" w:type="dxa"/>
            <w:shd w:val="clear" w:color="auto" w:fill="DBE5F1"/>
            <w:vAlign w:val="center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Arial"/>
                <w:b/>
                <w:color w:val="0070C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8856" w:type="dxa"/>
            <w:gridSpan w:val="6"/>
            <w:shd w:val="clear" w:color="auto" w:fill="DBE5F1"/>
            <w:vAlign w:val="center"/>
          </w:tcPr>
          <w:p w:rsidR="00857D6C" w:rsidRPr="002B4CAE" w:rsidRDefault="00857D6C" w:rsidP="00857D6C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ind w:left="527" w:hanging="142"/>
              <w:rPr>
                <w:rFonts w:ascii="Myriad Pro" w:hAnsi="Myriad Pro" w:cs="Arial"/>
                <w:b/>
                <w:color w:val="0070C0"/>
              </w:rPr>
            </w:pPr>
            <w:r w:rsidRPr="002B4CAE">
              <w:rPr>
                <w:rFonts w:ascii="Myriad Pro" w:hAnsi="Myriad Pro" w:cs="Arial"/>
                <w:b/>
                <w:color w:val="0070C0"/>
              </w:rPr>
              <w:t xml:space="preserve">Dodatkowe kryteria formalne: </w:t>
            </w:r>
          </w:p>
          <w:p w:rsidR="00857D6C" w:rsidRPr="002B4CAE" w:rsidRDefault="00857D6C" w:rsidP="007C340D">
            <w:pPr>
              <w:snapToGrid w:val="0"/>
              <w:spacing w:after="0"/>
              <w:ind w:left="385"/>
              <w:rPr>
                <w:rFonts w:ascii="Myriad Pro" w:eastAsia="Times New Roman" w:hAnsi="Myriad Pro" w:cs="Arial"/>
                <w:b/>
                <w:color w:val="0070C0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18"/>
                <w:szCs w:val="20"/>
                <w:lang w:eastAsia="pl-PL"/>
              </w:rPr>
              <w:t>Uwaga:  skala korzyści/ efektów oceniana jest poprzez adekwatne kryteria jakościowo-strategiczne (kryt. 1-4).</w:t>
            </w:r>
          </w:p>
        </w:tc>
      </w:tr>
      <w:tr w:rsidR="00857D6C" w:rsidRPr="002B2C4F" w:rsidTr="007C340D">
        <w:tc>
          <w:tcPr>
            <w:tcW w:w="46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45" w:type="dxa"/>
            <w:gridSpan w:val="2"/>
            <w:shd w:val="clear" w:color="auto" w:fill="FFFFFF"/>
          </w:tcPr>
          <w:p w:rsidR="00857D6C" w:rsidRPr="002B4CAE" w:rsidRDefault="00857D6C" w:rsidP="007C340D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Projekt przyczynia się do osiągania wymiernych i trwałych korzyści społeczno-gospodarczych. </w:t>
            </w:r>
          </w:p>
        </w:tc>
        <w:tc>
          <w:tcPr>
            <w:tcW w:w="127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45" w:type="dxa"/>
            <w:gridSpan w:val="2"/>
            <w:shd w:val="clear" w:color="auto" w:fill="FFFFFF"/>
          </w:tcPr>
          <w:p w:rsidR="00857D6C" w:rsidRPr="002B4CAE" w:rsidRDefault="00857D6C" w:rsidP="007C340D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2B4CAE">
              <w:rPr>
                <w:rFonts w:ascii="Myriad Pro" w:hAnsi="Myriad Pro"/>
                <w:sz w:val="20"/>
                <w:szCs w:val="20"/>
              </w:rPr>
              <w:t>Projektu jest zgodny ze Strategią Rozwoju Województwa Zachodniopomorskiego.</w:t>
            </w:r>
          </w:p>
        </w:tc>
        <w:tc>
          <w:tcPr>
            <w:tcW w:w="127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45" w:type="dxa"/>
            <w:gridSpan w:val="2"/>
            <w:shd w:val="clear" w:color="auto" w:fill="FFFFFF"/>
          </w:tcPr>
          <w:p w:rsidR="00857D6C" w:rsidRPr="002B4CAE" w:rsidRDefault="00857D6C" w:rsidP="007C340D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2B4CAE">
              <w:rPr>
                <w:rFonts w:ascii="Myriad Pro" w:hAnsi="Myriad Pro"/>
                <w:sz w:val="20"/>
                <w:szCs w:val="20"/>
              </w:rPr>
              <w:t>Istnieje uzasadniona potrzeba realizacji projektu  pod kątem społecznego zapotrzebowania na projekt, tj. szacowanego, prognozowanego wzrostu liczby odwiedzających lub utrzymania wysokiego poziomu odwiedzających.</w:t>
            </w:r>
          </w:p>
        </w:tc>
        <w:tc>
          <w:tcPr>
            <w:tcW w:w="127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45" w:type="dxa"/>
            <w:gridSpan w:val="2"/>
            <w:shd w:val="clear" w:color="auto" w:fill="FFFFFF"/>
          </w:tcPr>
          <w:p w:rsidR="00857D6C" w:rsidRDefault="00857D6C" w:rsidP="007C340D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2B4CAE">
              <w:rPr>
                <w:rFonts w:ascii="Myriad Pro" w:hAnsi="Myriad Pro"/>
                <w:sz w:val="20"/>
                <w:szCs w:val="20"/>
              </w:rPr>
              <w:t>Oddziaływanie projektu jest co najmniej ponadregionalne (zgodnie z definicją regionów NUTS 1), w odniesieniu do: dotychczasowej działalności i/lub planowanej działalności i/lub zasięgu oddziaływania projektu (w oparciu o analizę popytu).</w:t>
            </w:r>
          </w:p>
          <w:p w:rsidR="00857D6C" w:rsidRPr="002B4CAE" w:rsidRDefault="00857D6C" w:rsidP="007C340D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gridSpan w:val="3"/>
            <w:shd w:val="clear" w:color="auto" w:fill="FFFFFF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rPr>
          <w:trHeight w:val="370"/>
        </w:trPr>
        <w:tc>
          <w:tcPr>
            <w:tcW w:w="466" w:type="dxa"/>
            <w:shd w:val="clear" w:color="auto" w:fill="D9D9D9"/>
            <w:vAlign w:val="center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Arial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8856" w:type="dxa"/>
            <w:gridSpan w:val="6"/>
            <w:shd w:val="clear" w:color="auto" w:fill="D9D9D9"/>
            <w:vAlign w:val="center"/>
          </w:tcPr>
          <w:p w:rsidR="00857D6C" w:rsidRPr="002B4CAE" w:rsidRDefault="00857D6C" w:rsidP="00857D6C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ind w:left="668" w:hanging="283"/>
              <w:rPr>
                <w:rFonts w:ascii="Myriad Pro" w:hAnsi="Myriad Pro" w:cs="Arial"/>
                <w:b/>
                <w:color w:val="0070C0"/>
              </w:rPr>
            </w:pPr>
            <w:r w:rsidRPr="002B4CAE">
              <w:rPr>
                <w:rFonts w:ascii="Myriad Pro" w:hAnsi="Myriad Pro" w:cs="Arial"/>
                <w:b/>
                <w:color w:val="0070C0"/>
              </w:rPr>
              <w:t>Kryteria jakościowo-strategiczne</w:t>
            </w: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highlight w:val="yellow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Nazwa kryterium </w:t>
            </w:r>
          </w:p>
        </w:tc>
        <w:tc>
          <w:tcPr>
            <w:tcW w:w="2838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Skala punktów </w:t>
            </w:r>
          </w:p>
        </w:tc>
        <w:tc>
          <w:tcPr>
            <w:tcW w:w="759" w:type="dxa"/>
            <w:gridSpan w:val="2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ocena</w:t>
            </w: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Jak przedsięwzięcie przyczynia się do osiągania wymiernych i trwałych korzyści społeczno-ekonomicznych </w:t>
            </w:r>
          </w:p>
          <w:p w:rsidR="00857D6C" w:rsidRPr="002B4CAE" w:rsidRDefault="00857D6C" w:rsidP="007C340D">
            <w:pPr>
              <w:autoSpaceDE w:val="0"/>
              <w:autoSpaceDN w:val="0"/>
              <w:adjustRightInd w:val="0"/>
              <w:spacing w:after="0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hAnsi="Myriad Pro" w:cs="Calibri"/>
                <w:sz w:val="20"/>
                <w:szCs w:val="20"/>
              </w:rPr>
              <w:t>Ocenie podlegać będą bezpośrednie i pośrednie korzyści społeczno-ekonomiczne generowane przez projekt</w:t>
            </w:r>
          </w:p>
          <w:p w:rsidR="00857D6C" w:rsidRPr="002B4CAE" w:rsidRDefault="00857D6C" w:rsidP="007C340D">
            <w:pPr>
              <w:autoSpaceDE w:val="0"/>
              <w:autoSpaceDN w:val="0"/>
              <w:adjustRightInd w:val="0"/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hAnsi="Myriad Pro" w:cs="Calibri"/>
                <w:sz w:val="20"/>
                <w:szCs w:val="20"/>
              </w:rPr>
              <w:t>(dobór korzyści dostosowanych do specyfiki projektu).</w:t>
            </w:r>
          </w:p>
        </w:tc>
        <w:tc>
          <w:tcPr>
            <w:tcW w:w="2838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korzyści społeczne wynikają  (bezpośrednio i pośrednio) z projektu, a metoda ich doboru jest wiarygodna; przyjęte efekty ekonomiczno</w:t>
            </w:r>
            <w:r w:rsidRPr="002B4CAE">
              <w:rPr>
                <w:rFonts w:eastAsia="Times New Roman" w:cs="Calibri"/>
                <w:sz w:val="16"/>
                <w:szCs w:val="16"/>
                <w:lang w:eastAsia="pl-PL"/>
              </w:rPr>
              <w:t>‐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>społeczne projektu generują dodatnie efekty ekonomiczne. W obiekcie/obiektach będących przedmiotem projektu i w wyniku jego realizacji będzie dostępna dodatkowa infrastruktura (np. kawiarnia, punkt gastronomiczny, plac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>zabaw dla dzieci, sklep z pamiątkami, księgarnia, czytelnia, sklep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>muzyczny itp.), będąca pośrednim efektem realizacji inwestycji;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1 punkt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</w:t>
            </w:r>
            <w:r w:rsidRPr="002B4CAE">
              <w:rPr>
                <w:rFonts w:eastAsia="Times New Roman" w:cs="Calibri"/>
                <w:sz w:val="16"/>
                <w:szCs w:val="16"/>
                <w:lang w:eastAsia="pl-PL"/>
              </w:rPr>
              <w:t>‐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 korzyści i koszty społeczne wynikają z projektu, a metoda ich doboru jest wiarygodna. Przyjęte efekty ekonomiczno</w:t>
            </w:r>
            <w:r w:rsidRPr="002B4CAE">
              <w:rPr>
                <w:rFonts w:eastAsia="Times New Roman" w:cs="Calibri"/>
                <w:sz w:val="16"/>
                <w:szCs w:val="16"/>
                <w:lang w:eastAsia="pl-PL"/>
              </w:rPr>
              <w:t>‐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>społeczne projektu generują dodatnie efekty ekonomiczne;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</w:t>
            </w:r>
            <w:r w:rsidRPr="002B4CAE">
              <w:rPr>
                <w:rFonts w:eastAsia="Times New Roman" w:cs="Calibri"/>
                <w:sz w:val="16"/>
                <w:szCs w:val="16"/>
                <w:lang w:eastAsia="pl-PL"/>
              </w:rPr>
              <w:t>‐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pozostałe, w tym m.in.: dobór korzyści i kosztów społecznych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>budzi istotne wątpliwości, uwzględnione korzyści i koszty bezpośrednie nie są powiązane z projektem, uwzględnione pośrednie korzyści i koszty nie wynikają z oddziaływania projektu.</w:t>
            </w:r>
          </w:p>
        </w:tc>
        <w:tc>
          <w:tcPr>
            <w:tcW w:w="759" w:type="dxa"/>
            <w:gridSpan w:val="2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Na ile projekt jest zgodny z celami Strategii Rozwoju Województwa Zachodniopomorskiego?</w:t>
            </w:r>
          </w:p>
        </w:tc>
        <w:tc>
          <w:tcPr>
            <w:tcW w:w="2838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3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przedsięwzięcie w sposób kluczowy  przyczynia się do realizacji minimum 2 celów kierunkowych Strategii Rozwoju Województwa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trike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 xml:space="preserve">1 punkty 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>- przedsięwzięcie w sposób  istotny  (ale niewyłączny) przyczynia się do realizacji minimum 1 celu kierunkowego Strategii Rozwoju Województwa.</w:t>
            </w:r>
          </w:p>
        </w:tc>
        <w:tc>
          <w:tcPr>
            <w:tcW w:w="759" w:type="dxa"/>
            <w:gridSpan w:val="2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Na ile projekt jest zgodny z działaniami kierunkowymi / kierunkami interwencji Polityki kulturalnej województwa zachodniopomorskiego?</w:t>
            </w:r>
          </w:p>
        </w:tc>
        <w:tc>
          <w:tcPr>
            <w:tcW w:w="2838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przedsięwzięcie w sposób kluczowy  i bezpośredni stanowi realizację działań kierunkowych  Polityki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1 punkt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przedsięwzięcie  przyczynia się do realizacji działań kierunkowych  Polityki kulturalnej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brak relacji z w/w dokumentem </w:t>
            </w:r>
          </w:p>
        </w:tc>
        <w:tc>
          <w:tcPr>
            <w:tcW w:w="759" w:type="dxa"/>
            <w:gridSpan w:val="2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Na ile projekt wynika z obiektywnej potrzeby realizacji (analizy popytu i wykazania zapotrzebowania na dany projekt, w tym szacowanej liczby odwiedzających)</w:t>
            </w:r>
          </w:p>
        </w:tc>
        <w:tc>
          <w:tcPr>
            <w:tcW w:w="2838" w:type="dxa"/>
            <w:gridSpan w:val="3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przeprowadzono analizę popytu i wykazano  zapotrzebowanie na dany projekt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trike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1 punkt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wykazano  zapotrzebowanie na dany projekt bez analizy popytu.</w:t>
            </w:r>
            <w:r w:rsidRPr="002B4CAE">
              <w:rPr>
                <w:rFonts w:ascii="Myriad Pro" w:eastAsia="Times New Roman" w:hAnsi="Myriad Pro" w:cs="Calibri"/>
                <w:strike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59" w:type="dxa"/>
            <w:gridSpan w:val="2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59" w:type="dxa"/>
            <w:shd w:val="clear" w:color="auto" w:fill="D9D9D9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Na ile projekt realizuje </w:t>
            </w:r>
            <w:r w:rsidRPr="002B4CAE">
              <w:rPr>
                <w:rFonts w:ascii="Myriad Pro" w:eastAsia="Times New Roman" w:hAnsi="Myriad Pro" w:cs="Calibri"/>
                <w:b/>
                <w:sz w:val="20"/>
                <w:szCs w:val="20"/>
                <w:lang w:eastAsia="pl-PL"/>
              </w:rPr>
              <w:t>priorytety rozwoju kultury</w:t>
            </w: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 wskazane w SZOOP </w:t>
            </w:r>
            <w:proofErr w:type="spellStart"/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POIiŚ</w:t>
            </w:r>
            <w:proofErr w:type="spellEnd"/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 dla działania 8.1, tj.: </w:t>
            </w:r>
          </w:p>
        </w:tc>
        <w:tc>
          <w:tcPr>
            <w:tcW w:w="3597" w:type="dxa"/>
            <w:gridSpan w:val="5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poprawa dostępności do kultury - tj. w wymiarze fizycznym udostępnienie nowych powierzchni do prowadzenia  działalności kulturalnej, jak również budowanie świadomości i rozwój edukacji kulturalnej i artystycznej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projekt zakłada udostępnienie nowych powierzchni do prowadzenia  działalności kulturalnej oraz budowanie świadomości i rozwój edukacji kulturalnej i artystycznej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1 punkt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zakłada tylko udostępnienie nowych powierzchni do prowadzenia  działalności kulturalnej lub tylko budowanie świadomości i rozwój edukacji kulturalnej i 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lastRenderedPageBreak/>
              <w:t>artystycznej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projekt nie będzie dotyczyć udostępniania nowych powierzchni czy budowania świadomości i rozwoju edukacji kulturalnej i artystycznej 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lastRenderedPageBreak/>
              <w:t>5b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zachowanie dziedzictwa kulturowego (materialnego i niematerialnego) dla przyszłych pokoleń; 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zakłada oddziaływanie na zachowanie dziedzictwa kulturowego (materialnego i niematerialnego) dla przyszłych pokoleń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nie zakłada oddziaływanie na zachowanie dziedzictwa kulturowego (materialnego i niematerialnego) dla przyszłych pokoleń 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5c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 xml:space="preserve">umożliwienie nowych form uczestnictwa w kulturze - tworzenie warunków do rozwoju oferty kulturalnej   odpowiadającej na nowe potrzeby w obszarze działalności kulturalnej wynikające z rozwoju technicznego oraz  przemian społecznych we współczesnej gospodarce; 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zakłada umożliwienie nowych form uczestnictwa w kulturze - tworzenie warunków do rozwoju oferty kulturalnej   odpowiadającej na nowe potrzeby w obszarze działalności kulturalnej wynikające z rozwoju technicznego oraz  przemian społecznych we współczesnej gospodarce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nie zakłada umożliwienia nowych form uczestnictwa w kulturze - tworzenie warunków do rozwoju oferty kulturalnej   odpowiadającej na nowe potrzeby w obszarze działalności kulturalnej wynikające z rozwoju technicznego oraz  przemian społecznych we współczesnej gospodarce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5d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podniesienie atrakcyjności turystycznej kraju lub regionu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wpłynie na podniesienie atrakcyjności turystycznej kraju lub regionu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nie wpłynie na podniesienie atrakcyjności turystycznej kraju lub regionu 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59" w:type="dxa"/>
            <w:shd w:val="clear" w:color="auto" w:fill="D9D9D9"/>
          </w:tcPr>
          <w:p w:rsidR="00857D6C" w:rsidRPr="002B4CAE" w:rsidRDefault="00857D6C" w:rsidP="007C340D">
            <w:pPr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Na ile projekt zapewnia trwałość efektów, w tym generowanie efektów mnożnikowych? Promowane będą rozwiązania wpływające na poprawę efektywności funkcjonowania obiektów/instytucji w długim okresie, w tym rozwiązania pozwalające na:</w:t>
            </w:r>
          </w:p>
        </w:tc>
        <w:tc>
          <w:tcPr>
            <w:tcW w:w="2888" w:type="dxa"/>
            <w:gridSpan w:val="4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D9D9D9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6a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obniżenie kosztów utrzymania na rzecz wydatków inwestycyjnych oraz na działalność kulturalną;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wpłynie na obniżenie kosztów utrzymania na rzecz wydatków inwestycyjnych oraz na działalność kulturalną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nie wpłynie na obniżenie kosztów utrzymania na rzecz wydatków inwestycyjnych oraz na działalność kulturalną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6b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uppressAutoHyphens/>
              <w:snapToGrid w:val="0"/>
              <w:spacing w:after="0"/>
              <w:jc w:val="both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zastosowanie innowacyjnych rozwiązań energooszczędnych – zmniejszenie zapotrzebowania i zużycia energii, a przez to zmniejszenie ogólnych kosztów eksploatacji budynków;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1 punkt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wpłynie na zmniejszenie ogólnych kosztów eksploatacji budynków poprzez zastosowanie innowacyjnych rozwiązań energooszczędnych </w:t>
            </w:r>
          </w:p>
          <w:p w:rsidR="00857D6C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- projekt nie wpłynie na zmniejszenie ogólnych kosztów eksploatacji budynków poprzez zastosowanie innowacyjnych rozwiązań energooszczędnych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pacing w:after="0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hAnsi="Myriad Pro" w:cs="Calibri"/>
                <w:sz w:val="20"/>
                <w:szCs w:val="20"/>
              </w:rPr>
              <w:t>Jakie jest doświadczenie wnioskodawcy w rozliczeniu projektów infrastrukturalnych z udziałem środków publicznych.</w:t>
            </w:r>
          </w:p>
          <w:p w:rsidR="00857D6C" w:rsidRPr="002B4CAE" w:rsidRDefault="00857D6C" w:rsidP="007C340D">
            <w:pPr>
              <w:spacing w:after="0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hAnsi="Myriad Pro" w:cs="Calibri"/>
                <w:sz w:val="20"/>
                <w:szCs w:val="20"/>
              </w:rPr>
              <w:t>Priorytetowo będą traktowani wnioskodawcy, którzy zrealizowali i rozliczyli inwestycje infrastrukturalne z wykorzystaniem środków publicznych (w okresie co najmniej ostatnich trzech lat). W przypadku partnerstw projektowych doświadczenie będzie oceniane w kontekście całego partnerstwa.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 w przypadku projektów zrealizowanych przez wnioskodawców, 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>którzy zrealizowali i rozliczyli min. 2 inwestycje infrastrukturalne z wykorzystaniem środków publicznych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1 punkt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 w przypadku projektów zrealizowanych przez wnioskodawców, 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>którzy zrealizowali i rozliczyli min. 1 inwestycję infrastrukturalną z wykorzystaniem środków publicznych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w przypadku projektów realizowanych przez wnioskodawców, 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>którzy nie mają doświadczenia w realizacji inwestycji infrastrukturalnych z wykorzystaniem środków publicznych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rPr>
          <w:trHeight w:val="1730"/>
        </w:trPr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pacing w:after="0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hAnsi="Myriad Pro" w:cs="Calibri"/>
                <w:sz w:val="20"/>
                <w:szCs w:val="20"/>
              </w:rPr>
              <w:t>Czy bezpośrednio w wyniku realizacji projektu utworzone zostaną nowe, stałe miejsca pracy. Priorytetowo będą traktowane projekty, w wyniku których zostaną utworzone nowe miejsca pracy.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napToGrid w:val="0"/>
              <w:spacing w:after="0"/>
              <w:rPr>
                <w:rFonts w:ascii="Myriad Pro" w:hAnsi="Myriad Pro" w:cs="Calibri"/>
                <w:sz w:val="16"/>
                <w:szCs w:val="16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3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 w przypadku projektów 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 xml:space="preserve">w wyniku realizacji których powstaną min. 3 nowe miejsca pracy 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2 punkty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 w przypadku projektów 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>w wyniku realizacji, których powstaną min. 2 nowe miejsca pracy</w:t>
            </w:r>
          </w:p>
          <w:p w:rsidR="00857D6C" w:rsidRPr="002B4CAE" w:rsidRDefault="00857D6C" w:rsidP="007C340D">
            <w:pPr>
              <w:snapToGrid w:val="0"/>
              <w:spacing w:after="0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b/>
                <w:sz w:val="16"/>
                <w:szCs w:val="16"/>
                <w:lang w:eastAsia="pl-PL"/>
              </w:rPr>
              <w:t>0 punktów</w:t>
            </w:r>
            <w:r w:rsidRPr="002B4CAE">
              <w:rPr>
                <w:rFonts w:ascii="Myriad Pro" w:eastAsia="Times New Roman" w:hAnsi="Myriad Pro" w:cs="Calibri"/>
                <w:sz w:val="16"/>
                <w:szCs w:val="16"/>
                <w:lang w:eastAsia="pl-PL"/>
              </w:rPr>
              <w:t xml:space="preserve"> – w przypadku projektów 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>w wyniku realizacji, których nie powstaną nowe miejsca pracy</w:t>
            </w:r>
            <w:r w:rsidRPr="002B4CAE">
              <w:rPr>
                <w:rFonts w:ascii="Myriad Pro" w:hAnsi="Myriad Pro" w:cs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  <w:tr w:rsidR="00857D6C" w:rsidRPr="002B2C4F" w:rsidTr="007C340D">
        <w:tc>
          <w:tcPr>
            <w:tcW w:w="466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</w:pPr>
            <w:r w:rsidRPr="002B4CAE">
              <w:rPr>
                <w:rFonts w:ascii="Myriad Pro" w:eastAsia="Times New Roman" w:hAnsi="Myriad Pro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259" w:type="dxa"/>
          </w:tcPr>
          <w:p w:rsidR="00857D6C" w:rsidRPr="002B4CAE" w:rsidRDefault="00857D6C" w:rsidP="007C340D">
            <w:pPr>
              <w:spacing w:after="0"/>
              <w:rPr>
                <w:rFonts w:ascii="Myriad Pro" w:hAnsi="Myriad Pro" w:cs="Calibri"/>
                <w:sz w:val="20"/>
                <w:szCs w:val="20"/>
              </w:rPr>
            </w:pPr>
            <w:r w:rsidRPr="002B4CAE">
              <w:rPr>
                <w:rFonts w:ascii="Myriad Pro" w:hAnsi="Myriad Pro" w:cs="Calibri"/>
                <w:sz w:val="20"/>
                <w:szCs w:val="20"/>
              </w:rPr>
              <w:t>Na ile projekt uwzględnia ponadregionalność - zakres projektu jest zgodny z przyjętą przez Radę Ministrów strategią ponadregionalną oraz jest to przedsięwzięcie o rzeczywistym potencjale ponadregionalnym, tj. cechujące się wartością dodaną wynikającą z koncentracji na zadaniach wykraczających poza obszar województwa, istotnych dla rozwoju na szerszym obszarze.</w:t>
            </w:r>
          </w:p>
        </w:tc>
        <w:tc>
          <w:tcPr>
            <w:tcW w:w="2888" w:type="dxa"/>
            <w:gridSpan w:val="4"/>
          </w:tcPr>
          <w:p w:rsidR="00857D6C" w:rsidRPr="002B4CAE" w:rsidRDefault="00857D6C" w:rsidP="007C340D">
            <w:pPr>
              <w:spacing w:after="0"/>
              <w:rPr>
                <w:rFonts w:ascii="Myriad Pro" w:hAnsi="Myriad Pro" w:cs="Calibri"/>
                <w:sz w:val="16"/>
                <w:szCs w:val="16"/>
              </w:rPr>
            </w:pPr>
            <w:r w:rsidRPr="002B4CAE">
              <w:rPr>
                <w:rFonts w:ascii="Myriad Pro" w:hAnsi="Myriad Pro" w:cs="Calibri"/>
                <w:b/>
                <w:bCs/>
                <w:sz w:val="16"/>
                <w:szCs w:val="16"/>
              </w:rPr>
              <w:t>3 punkty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 xml:space="preserve"> - przedsięwzięcie jest jednym z priorytetów w ramach założeń do Strategii Rozwoju Polski Zachodniej lub zalicza się do przedsięwzięć o znaczeniu ponadregionalnym lub cechuje się ponadregionalnym przestrzennym i funkcjonalnym zakresem obejmującym co najmniej 2 regiony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br/>
            </w:r>
            <w:r w:rsidRPr="002B4CAE">
              <w:rPr>
                <w:rFonts w:ascii="Myriad Pro" w:hAnsi="Myriad Pro" w:cs="Calibri"/>
                <w:b/>
                <w:bCs/>
                <w:sz w:val="16"/>
                <w:szCs w:val="16"/>
              </w:rPr>
              <w:t>1 punkt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 xml:space="preserve"> – projekt jest komplementarny do przedsięwzięcia </w:t>
            </w:r>
            <w:proofErr w:type="spellStart"/>
            <w:r w:rsidRPr="002B4CAE">
              <w:rPr>
                <w:rFonts w:ascii="Myriad Pro" w:hAnsi="Myriad Pro" w:cs="Calibri"/>
                <w:sz w:val="16"/>
                <w:szCs w:val="16"/>
              </w:rPr>
              <w:t>j.w</w:t>
            </w:r>
            <w:proofErr w:type="spellEnd"/>
            <w:r w:rsidRPr="002B4CAE">
              <w:rPr>
                <w:rFonts w:ascii="Myriad Pro" w:hAnsi="Myriad Pro" w:cs="Calibri"/>
                <w:sz w:val="16"/>
                <w:szCs w:val="16"/>
              </w:rPr>
              <w:t xml:space="preserve">.  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br/>
            </w:r>
            <w:r w:rsidRPr="002B4CAE">
              <w:rPr>
                <w:rFonts w:ascii="Myriad Pro" w:hAnsi="Myriad Pro" w:cs="Calibri"/>
                <w:b/>
                <w:bCs/>
                <w:sz w:val="16"/>
                <w:szCs w:val="16"/>
              </w:rPr>
              <w:t>0 punktów</w:t>
            </w:r>
            <w:r w:rsidRPr="002B4CAE">
              <w:rPr>
                <w:rFonts w:ascii="Myriad Pro" w:hAnsi="Myriad Pro" w:cs="Calibri"/>
                <w:sz w:val="16"/>
                <w:szCs w:val="16"/>
              </w:rPr>
              <w:t xml:space="preserve"> - pozostałe</w:t>
            </w:r>
          </w:p>
        </w:tc>
        <w:tc>
          <w:tcPr>
            <w:tcW w:w="709" w:type="dxa"/>
          </w:tcPr>
          <w:p w:rsidR="00857D6C" w:rsidRPr="002B4CAE" w:rsidRDefault="00857D6C" w:rsidP="007C340D">
            <w:pPr>
              <w:snapToGrid w:val="0"/>
              <w:spacing w:after="0"/>
              <w:jc w:val="both"/>
              <w:rPr>
                <w:rFonts w:ascii="Myriad Pro" w:eastAsia="Times New Roman" w:hAnsi="Myriad Pro" w:cs="Calibri"/>
                <w:color w:val="A6A6A6"/>
                <w:sz w:val="20"/>
                <w:szCs w:val="20"/>
                <w:lang w:eastAsia="pl-PL"/>
              </w:rPr>
            </w:pPr>
          </w:p>
        </w:tc>
      </w:tr>
    </w:tbl>
    <w:p w:rsidR="00621399" w:rsidRDefault="00621399" w:rsidP="00857D6C">
      <w:bookmarkStart w:id="0" w:name="_GoBack"/>
      <w:bookmarkEnd w:id="0"/>
    </w:p>
    <w:sectPr w:rsidR="00621399" w:rsidSect="00857D6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367D3"/>
    <w:multiLevelType w:val="hybridMultilevel"/>
    <w:tmpl w:val="D166CCB6"/>
    <w:lvl w:ilvl="0" w:tplc="52D8B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6C"/>
    <w:rsid w:val="001A77C3"/>
    <w:rsid w:val="00621399"/>
    <w:rsid w:val="00857D6C"/>
    <w:rsid w:val="008651B7"/>
    <w:rsid w:val="008C00AC"/>
    <w:rsid w:val="00E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D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57D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7D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D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57D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7D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s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1504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Pawłowska</dc:creator>
  <cp:lastModifiedBy>Dorota Pawłowska </cp:lastModifiedBy>
  <cp:revision>1</cp:revision>
  <dcterms:created xsi:type="dcterms:W3CDTF">2017-01-04T12:28:00Z</dcterms:created>
  <dcterms:modified xsi:type="dcterms:W3CDTF">2017-01-04T12:28:00Z</dcterms:modified>
</cp:coreProperties>
</file>