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ADA" w:rsidRPr="00F44ADA" w:rsidRDefault="00C725E4" w:rsidP="00F44ADA">
      <w:pPr>
        <w:spacing w:after="240"/>
        <w:ind w:left="284" w:hanging="284"/>
        <w:jc w:val="center"/>
        <w:rPr>
          <w:b/>
        </w:rPr>
      </w:pPr>
      <w:r>
        <w:rPr>
          <w:b/>
        </w:rPr>
        <w:t>Proponowany obszar</w:t>
      </w:r>
      <w:bookmarkStart w:id="0" w:name="_GoBack"/>
      <w:bookmarkEnd w:id="0"/>
      <w:r w:rsidR="00F44ADA" w:rsidRPr="00F44ADA">
        <w:rPr>
          <w:b/>
        </w:rPr>
        <w:t xml:space="preserve"> tematyczny kursu e-learningowego w zakresie równości szans, niedyskryminacji i przeciwdziałania wykluczeniu społecznemu</w:t>
      </w:r>
    </w:p>
    <w:p w:rsidR="003D46B7" w:rsidRDefault="00562630" w:rsidP="009F6DC1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eastAsia="Times New Roman"/>
        </w:rPr>
      </w:pPr>
      <w:r w:rsidRPr="0081276A">
        <w:rPr>
          <w:b/>
        </w:rPr>
        <w:t>Wprowadzenie do równości i różnorodności</w:t>
      </w:r>
      <w:r w:rsidRPr="0081276A">
        <w:rPr>
          <w:rFonts w:eastAsia="Times New Roman"/>
          <w:b/>
        </w:rPr>
        <w:t xml:space="preserve"> –</w:t>
      </w:r>
      <w:r w:rsidRPr="00562630">
        <w:rPr>
          <w:rFonts w:eastAsia="Times New Roman"/>
        </w:rPr>
        <w:t xml:space="preserve"> </w:t>
      </w:r>
      <w:r w:rsidR="0081276A">
        <w:rPr>
          <w:rFonts w:eastAsia="Times New Roman"/>
        </w:rPr>
        <w:t>P</w:t>
      </w:r>
      <w:r w:rsidRPr="00562630">
        <w:rPr>
          <w:rFonts w:eastAsia="Times New Roman"/>
        </w:rPr>
        <w:t>rzystępne i kreatywne przedstawienie pojęcia równości, jej znaczenia oraz uniwersalnego charakteru dotyczącego wszystkich obywateli</w:t>
      </w:r>
      <w:r>
        <w:rPr>
          <w:rFonts w:eastAsia="Times New Roman"/>
        </w:rPr>
        <w:t xml:space="preserve"> oraz </w:t>
      </w:r>
      <w:r w:rsidRPr="00562630">
        <w:rPr>
          <w:rFonts w:eastAsia="Times New Roman"/>
          <w:b/>
        </w:rPr>
        <w:t>proste wyjaśnienie najważniejszych pojęć</w:t>
      </w:r>
      <w:r w:rsidRPr="00562630">
        <w:rPr>
          <w:rFonts w:eastAsia="Times New Roman"/>
        </w:rPr>
        <w:t xml:space="preserve"> tym m.in.: dyskryminacja (ze względu na wiek, płeć, rasę, narodowość, pochodzenie etniczne, orientację seksualną, wyznanie, bezwyznaniowość, niepełnosprawność, sytuację ekonomiczną, poglądy), równe traktowanie, prawa człowieka, przemoc, stereotypy, równość kobiet i mężczyzn, dostępność, język inkluzywny, projektowanie uniwersalne, </w:t>
      </w:r>
      <w:proofErr w:type="spellStart"/>
      <w:r w:rsidRPr="00562630">
        <w:rPr>
          <w:rFonts w:eastAsia="Times New Roman"/>
        </w:rPr>
        <w:t>nieheteronormatywność</w:t>
      </w:r>
      <w:proofErr w:type="spellEnd"/>
      <w:r w:rsidRPr="00562630">
        <w:rPr>
          <w:rFonts w:eastAsia="Times New Roman"/>
        </w:rPr>
        <w:t xml:space="preserve">, </w:t>
      </w:r>
      <w:proofErr w:type="spellStart"/>
      <w:r w:rsidRPr="00562630">
        <w:rPr>
          <w:rFonts w:eastAsia="Times New Roman"/>
        </w:rPr>
        <w:t>niebinarność</w:t>
      </w:r>
      <w:proofErr w:type="spellEnd"/>
      <w:r w:rsidRPr="00562630">
        <w:rPr>
          <w:rFonts w:eastAsia="Times New Roman"/>
        </w:rPr>
        <w:t xml:space="preserve">, </w:t>
      </w:r>
      <w:proofErr w:type="spellStart"/>
      <w:r w:rsidRPr="00562630">
        <w:rPr>
          <w:rFonts w:eastAsia="Times New Roman"/>
        </w:rPr>
        <w:t>transpłciowość</w:t>
      </w:r>
      <w:proofErr w:type="spellEnd"/>
      <w:r w:rsidRPr="00562630">
        <w:rPr>
          <w:rFonts w:eastAsia="Times New Roman"/>
        </w:rPr>
        <w:t xml:space="preserve">, feminizm, patriarchat, uchodźcy, integracja i asymilacja, molestowanie, wykluczenie społeczne, dyskryminacja pozytywna, kultura gwałtu, </w:t>
      </w:r>
      <w:proofErr w:type="spellStart"/>
      <w:r w:rsidRPr="00562630">
        <w:rPr>
          <w:rFonts w:eastAsia="Times New Roman"/>
        </w:rPr>
        <w:t>intersekcjonalność</w:t>
      </w:r>
      <w:proofErr w:type="spellEnd"/>
      <w:r w:rsidRPr="00562630">
        <w:rPr>
          <w:rFonts w:eastAsia="Times New Roman"/>
        </w:rPr>
        <w:t xml:space="preserve"> itp.</w:t>
      </w:r>
    </w:p>
    <w:p w:rsidR="0081276A" w:rsidRPr="0081276A" w:rsidRDefault="0081276A" w:rsidP="0081276A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eastAsia="Times New Roman"/>
        </w:rPr>
      </w:pPr>
      <w:r w:rsidRPr="0081276A">
        <w:rPr>
          <w:rFonts w:eastAsia="Times New Roman"/>
          <w:b/>
        </w:rPr>
        <w:t xml:space="preserve">Podstawy prawne </w:t>
      </w:r>
      <w:r w:rsidRPr="0081276A">
        <w:rPr>
          <w:rFonts w:eastAsia="Times New Roman"/>
        </w:rPr>
        <w:t xml:space="preserve">– </w:t>
      </w:r>
      <w:r>
        <w:rPr>
          <w:rFonts w:eastAsia="Times New Roman"/>
        </w:rPr>
        <w:t>O</w:t>
      </w:r>
      <w:r w:rsidRPr="00562630">
        <w:rPr>
          <w:rFonts w:eastAsia="Times New Roman"/>
        </w:rPr>
        <w:t>mówienie dokumentów takich jak Konstytucja RP, Karta Praw Podstawowych UE, Konwencja o prawach osób z niepełnosprawnościami, odpowiednie dyrektywy UE, uchwały samorządowe, powiązania z realizacją projektów finansowanych z funduszy unijnych.</w:t>
      </w:r>
    </w:p>
    <w:p w:rsidR="003D46B7" w:rsidRPr="0081276A" w:rsidRDefault="0081276A" w:rsidP="0081276A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eastAsia="Times New Roman"/>
        </w:rPr>
      </w:pPr>
      <w:r w:rsidRPr="0081276A">
        <w:rPr>
          <w:rFonts w:eastAsia="Times New Roman"/>
          <w:b/>
          <w:bCs/>
        </w:rPr>
        <w:t>Równość w politykach samorządowych i projektowaniu usług publicznych</w:t>
      </w:r>
      <w:r>
        <w:rPr>
          <w:rFonts w:eastAsia="Times New Roman"/>
          <w:b/>
          <w:bCs/>
        </w:rPr>
        <w:t xml:space="preserve"> </w:t>
      </w:r>
      <w:r w:rsidRPr="0081276A">
        <w:rPr>
          <w:rFonts w:eastAsia="Times New Roman"/>
        </w:rPr>
        <w:t>–</w:t>
      </w:r>
      <w:r w:rsidRPr="0081276A">
        <w:rPr>
          <w:rFonts w:eastAsia="Times New Roman"/>
        </w:rPr>
        <w:br/>
        <w:t>Omówienie roli jednostek samorządu terytorialnego w realizacji zasady równego traktowania – poprzez polityki społeczne, planowanie przestrzenne, zamówienia publiczne, programy lokalne i projekty unijne. Przykłady wyzwań i lokalnych form dyskryminacji (np. infrastruktura wykluczająca osoby starsze, kobiety, osoby z niepełnosprawnościami).</w:t>
      </w:r>
      <w:r>
        <w:rPr>
          <w:rFonts w:eastAsia="Times New Roman"/>
        </w:rPr>
        <w:t xml:space="preserve"> </w:t>
      </w:r>
      <w:r w:rsidRPr="0081276A">
        <w:rPr>
          <w:rFonts w:eastAsia="Times New Roman"/>
        </w:rPr>
        <w:t xml:space="preserve">Wprowadzenie do podejścia opartego na prawach człowieka w działaniach samorządów – z uwzględnieniem rekomendacji instytucji unijnych (FRA, EIGE), zasady projektowania </w:t>
      </w:r>
      <w:proofErr w:type="spellStart"/>
      <w:r w:rsidRPr="0081276A">
        <w:rPr>
          <w:rFonts w:eastAsia="Times New Roman"/>
        </w:rPr>
        <w:t>inkluzywnego</w:t>
      </w:r>
      <w:proofErr w:type="spellEnd"/>
      <w:r w:rsidRPr="0081276A">
        <w:rPr>
          <w:rFonts w:eastAsia="Times New Roman"/>
        </w:rPr>
        <w:t>, równościowej agregacji danych i budżetowania wrażliwego na płeć. Podkreślenie znaczenia zgodności projektów i usług z zasadami horyzontalnymi UE, w tym równości szans i niedyskryminacji.</w:t>
      </w:r>
      <w:r w:rsidR="003D46B7" w:rsidRPr="0081276A">
        <w:rPr>
          <w:rFonts w:eastAsia="Times New Roman"/>
        </w:rPr>
        <w:t xml:space="preserve"> (</w:t>
      </w:r>
      <w:hyperlink r:id="rId8" w:history="1">
        <w:r w:rsidR="003D46B7" w:rsidRPr="0081276A">
          <w:rPr>
            <w:rStyle w:val="Hipercze"/>
            <w:rFonts w:eastAsia="Times New Roman"/>
          </w:rPr>
          <w:t>https://architektoniczki.com/</w:t>
        </w:r>
      </w:hyperlink>
      <w:r w:rsidR="003D46B7" w:rsidRPr="0081276A">
        <w:rPr>
          <w:rFonts w:eastAsia="Times New Roman"/>
        </w:rPr>
        <w:t>)</w:t>
      </w:r>
    </w:p>
    <w:p w:rsidR="002D2204" w:rsidRPr="002D2204" w:rsidRDefault="002D2204" w:rsidP="0081276A">
      <w:pPr>
        <w:pStyle w:val="Akapitzlist"/>
        <w:numPr>
          <w:ilvl w:val="0"/>
          <w:numId w:val="1"/>
        </w:numPr>
        <w:ind w:left="284" w:hanging="284"/>
        <w:jc w:val="both"/>
        <w:rPr>
          <w:rFonts w:eastAsia="Times New Roman"/>
        </w:rPr>
      </w:pPr>
      <w:r w:rsidRPr="002D2204">
        <w:rPr>
          <w:rFonts w:eastAsia="Times New Roman"/>
          <w:b/>
          <w:bCs/>
        </w:rPr>
        <w:t>Równość kobiet i mężczyzn w politykach publicznych</w:t>
      </w:r>
      <w:r w:rsidR="0081276A">
        <w:rPr>
          <w:rFonts w:eastAsia="Times New Roman"/>
          <w:b/>
          <w:bCs/>
        </w:rPr>
        <w:t xml:space="preserve"> </w:t>
      </w:r>
      <w:r w:rsidR="0081276A" w:rsidRPr="0081276A">
        <w:rPr>
          <w:rFonts w:eastAsia="Times New Roman"/>
        </w:rPr>
        <w:t xml:space="preserve">– </w:t>
      </w:r>
      <w:r w:rsidR="0081276A">
        <w:rPr>
          <w:rFonts w:eastAsia="Times New Roman"/>
        </w:rPr>
        <w:t>P</w:t>
      </w:r>
      <w:r w:rsidRPr="002D2204">
        <w:rPr>
          <w:rFonts w:eastAsia="Times New Roman"/>
        </w:rPr>
        <w:t xml:space="preserve">rzedstawienie idei równości płci oraz </w:t>
      </w:r>
      <w:proofErr w:type="spellStart"/>
      <w:r w:rsidRPr="002D2204">
        <w:rPr>
          <w:rFonts w:eastAsia="Times New Roman"/>
        </w:rPr>
        <w:t>Gender</w:t>
      </w:r>
      <w:proofErr w:type="spellEnd"/>
      <w:r w:rsidRPr="002D2204">
        <w:rPr>
          <w:rFonts w:eastAsia="Times New Roman"/>
        </w:rPr>
        <w:t xml:space="preserve"> </w:t>
      </w:r>
      <w:proofErr w:type="spellStart"/>
      <w:r w:rsidRPr="002D2204">
        <w:rPr>
          <w:rFonts w:eastAsia="Times New Roman"/>
        </w:rPr>
        <w:t>Equality</w:t>
      </w:r>
      <w:proofErr w:type="spellEnd"/>
      <w:r w:rsidRPr="002D2204">
        <w:rPr>
          <w:rFonts w:eastAsia="Times New Roman"/>
        </w:rPr>
        <w:t xml:space="preserve"> Index jako narzędzia pomiaru różnic w obszarach takich jak władza, zdrowie, edukacja czy zatrudnienie. Omówienie przykładów nierówności – m.in. różnic płacowych, ograniczonego dostępu do stanowisk decyzyjnych, stereotypów płciowych czy przemocy wobec kobiet.</w:t>
      </w:r>
    </w:p>
    <w:p w:rsidR="002D2204" w:rsidRPr="002D2204" w:rsidRDefault="002D2204" w:rsidP="0081276A">
      <w:pPr>
        <w:pStyle w:val="Akapitzlist"/>
        <w:numPr>
          <w:ilvl w:val="0"/>
          <w:numId w:val="5"/>
        </w:numPr>
        <w:jc w:val="both"/>
        <w:rPr>
          <w:rFonts w:eastAsia="Times New Roman"/>
        </w:rPr>
      </w:pPr>
      <w:r w:rsidRPr="002D2204">
        <w:rPr>
          <w:rFonts w:eastAsia="Times New Roman"/>
        </w:rPr>
        <w:t>Zaprezentowanie praktycznych obszarów wdrażania polityk równościowych:</w:t>
      </w:r>
    </w:p>
    <w:p w:rsidR="002D2204" w:rsidRPr="002D2204" w:rsidRDefault="002D2204" w:rsidP="0081276A">
      <w:pPr>
        <w:pStyle w:val="Akapitzlist"/>
        <w:numPr>
          <w:ilvl w:val="0"/>
          <w:numId w:val="5"/>
        </w:numPr>
        <w:jc w:val="both"/>
        <w:rPr>
          <w:rFonts w:eastAsia="Times New Roman"/>
        </w:rPr>
      </w:pPr>
      <w:r w:rsidRPr="002D2204">
        <w:rPr>
          <w:rFonts w:eastAsia="Times New Roman"/>
        </w:rPr>
        <w:t>przestrzeń publiczna i infrastruktura,</w:t>
      </w:r>
    </w:p>
    <w:p w:rsidR="002D2204" w:rsidRPr="002D2204" w:rsidRDefault="002D2204" w:rsidP="0081276A">
      <w:pPr>
        <w:pStyle w:val="Akapitzlist"/>
        <w:numPr>
          <w:ilvl w:val="0"/>
          <w:numId w:val="5"/>
        </w:numPr>
        <w:jc w:val="both"/>
        <w:rPr>
          <w:rFonts w:eastAsia="Times New Roman"/>
        </w:rPr>
      </w:pPr>
      <w:r w:rsidRPr="002D2204">
        <w:rPr>
          <w:rFonts w:eastAsia="Times New Roman"/>
        </w:rPr>
        <w:t>transport i planowanie przestrzenne,</w:t>
      </w:r>
    </w:p>
    <w:p w:rsidR="002D2204" w:rsidRPr="002D2204" w:rsidRDefault="002D2204" w:rsidP="0081276A">
      <w:pPr>
        <w:pStyle w:val="Akapitzlist"/>
        <w:numPr>
          <w:ilvl w:val="0"/>
          <w:numId w:val="5"/>
        </w:numPr>
        <w:jc w:val="both"/>
        <w:rPr>
          <w:rFonts w:eastAsia="Times New Roman"/>
        </w:rPr>
      </w:pPr>
      <w:r w:rsidRPr="002D2204">
        <w:rPr>
          <w:rFonts w:eastAsia="Times New Roman"/>
        </w:rPr>
        <w:t>opieka zdrowotna,</w:t>
      </w:r>
    </w:p>
    <w:p w:rsidR="0081276A" w:rsidRPr="0081276A" w:rsidRDefault="002D2204" w:rsidP="0081276A">
      <w:pPr>
        <w:pStyle w:val="Akapitzlist"/>
        <w:numPr>
          <w:ilvl w:val="0"/>
          <w:numId w:val="5"/>
        </w:numPr>
        <w:jc w:val="both"/>
        <w:rPr>
          <w:rFonts w:eastAsia="Times New Roman"/>
        </w:rPr>
      </w:pPr>
      <w:r w:rsidRPr="002D2204">
        <w:rPr>
          <w:rFonts w:eastAsia="Times New Roman"/>
        </w:rPr>
        <w:t>sport i rekreacja.</w:t>
      </w:r>
    </w:p>
    <w:p w:rsidR="002D2204" w:rsidRPr="002D2204" w:rsidRDefault="002D2204" w:rsidP="0081276A">
      <w:pPr>
        <w:pStyle w:val="Akapitzlist"/>
        <w:spacing w:after="240"/>
        <w:ind w:left="284"/>
        <w:jc w:val="both"/>
        <w:rPr>
          <w:rFonts w:eastAsia="Times New Roman"/>
        </w:rPr>
      </w:pPr>
      <w:r w:rsidRPr="002D2204">
        <w:rPr>
          <w:rFonts w:eastAsia="Times New Roman"/>
        </w:rPr>
        <w:t xml:space="preserve">Podkreślenie korzyści równości płci także dla mężczyzn – w zakresie zdrowia psychicznego, edukacji </w:t>
      </w:r>
      <w:proofErr w:type="spellStart"/>
      <w:r w:rsidRPr="002D2204">
        <w:rPr>
          <w:rFonts w:eastAsia="Times New Roman"/>
        </w:rPr>
        <w:t>antyprzemocowej</w:t>
      </w:r>
      <w:proofErr w:type="spellEnd"/>
      <w:r w:rsidRPr="002D2204">
        <w:rPr>
          <w:rFonts w:eastAsia="Times New Roman"/>
        </w:rPr>
        <w:t xml:space="preserve"> czy udziału w życiu rodzinnym. Równość powinna być traktowana jako zasada przekrojowa w działaniach instytucji publicznych.</w:t>
      </w:r>
    </w:p>
    <w:p w:rsidR="003D46B7" w:rsidRPr="002D2204" w:rsidRDefault="00562630" w:rsidP="00885F22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eastAsia="Times New Roman"/>
        </w:rPr>
      </w:pPr>
      <w:r w:rsidRPr="0081276A">
        <w:rPr>
          <w:rFonts w:eastAsia="Times New Roman"/>
          <w:b/>
        </w:rPr>
        <w:t>Niedyskryminacja w zatrudnieniu, edukacji i dostępie do usług –</w:t>
      </w:r>
      <w:r w:rsidRPr="002D2204">
        <w:rPr>
          <w:rFonts w:eastAsia="Times New Roman"/>
        </w:rPr>
        <w:t xml:space="preserve"> </w:t>
      </w:r>
      <w:r w:rsidR="0081276A">
        <w:rPr>
          <w:rFonts w:eastAsia="Times New Roman"/>
        </w:rPr>
        <w:t>Z</w:t>
      </w:r>
      <w:r w:rsidRPr="002D2204">
        <w:rPr>
          <w:rFonts w:eastAsia="Times New Roman"/>
        </w:rPr>
        <w:t xml:space="preserve"> uwzględnieniem grup szczególnie narażonych na wykluczenie.</w:t>
      </w:r>
    </w:p>
    <w:p w:rsidR="00562630" w:rsidRPr="009F6DC1" w:rsidRDefault="003D46B7" w:rsidP="009F6DC1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eastAsia="Times New Roman"/>
        </w:rPr>
      </w:pPr>
      <w:r w:rsidRPr="0081276A">
        <w:rPr>
          <w:rFonts w:eastAsia="Times New Roman"/>
          <w:b/>
        </w:rPr>
        <w:lastRenderedPageBreak/>
        <w:t>Język</w:t>
      </w:r>
      <w:r w:rsidR="00562630" w:rsidRPr="0081276A">
        <w:rPr>
          <w:rFonts w:eastAsia="Times New Roman"/>
          <w:b/>
        </w:rPr>
        <w:t xml:space="preserve"> inkluzywny i prosty –</w:t>
      </w:r>
      <w:r w:rsidR="00562630" w:rsidRPr="00562630">
        <w:rPr>
          <w:rFonts w:eastAsia="Times New Roman"/>
        </w:rPr>
        <w:t xml:space="preserve"> </w:t>
      </w:r>
      <w:r w:rsidR="0081276A">
        <w:rPr>
          <w:rFonts w:eastAsia="Times New Roman"/>
        </w:rPr>
        <w:t>Z</w:t>
      </w:r>
      <w:r w:rsidR="00562630" w:rsidRPr="00562630">
        <w:rPr>
          <w:rFonts w:eastAsia="Times New Roman"/>
        </w:rPr>
        <w:t xml:space="preserve">naczenie języka w kształtowaniu rzeczywistości społecznej, zastosowanie </w:t>
      </w:r>
      <w:proofErr w:type="spellStart"/>
      <w:r w:rsidR="00562630" w:rsidRPr="00562630">
        <w:rPr>
          <w:rFonts w:eastAsia="Times New Roman"/>
        </w:rPr>
        <w:t>feminatywów</w:t>
      </w:r>
      <w:proofErr w:type="spellEnd"/>
      <w:r w:rsidR="00562630" w:rsidRPr="00562630">
        <w:rPr>
          <w:rFonts w:eastAsia="Times New Roman"/>
        </w:rPr>
        <w:t>, zaimków, form neutralnych, potrzeba stosowania języka zrozumiałego dla wszystkich.</w:t>
      </w:r>
    </w:p>
    <w:p w:rsidR="00562630" w:rsidRPr="00562630" w:rsidRDefault="00562630" w:rsidP="009F6DC1">
      <w:pPr>
        <w:pStyle w:val="Akapitzlist"/>
        <w:numPr>
          <w:ilvl w:val="0"/>
          <w:numId w:val="1"/>
        </w:numPr>
        <w:spacing w:after="240"/>
        <w:ind w:left="284" w:hanging="284"/>
        <w:jc w:val="both"/>
      </w:pPr>
      <w:r w:rsidRPr="0081276A">
        <w:rPr>
          <w:rFonts w:eastAsia="Times New Roman"/>
          <w:b/>
        </w:rPr>
        <w:t>Dyskryminacja jako forma przemocy –</w:t>
      </w:r>
      <w:r w:rsidRPr="00562630">
        <w:rPr>
          <w:rFonts w:eastAsia="Times New Roman"/>
        </w:rPr>
        <w:t xml:space="preserve"> </w:t>
      </w:r>
      <w:r w:rsidR="0081276A">
        <w:rPr>
          <w:rFonts w:eastAsia="Times New Roman"/>
        </w:rPr>
        <w:t>R</w:t>
      </w:r>
      <w:r w:rsidRPr="00562630">
        <w:rPr>
          <w:rFonts w:eastAsia="Times New Roman"/>
        </w:rPr>
        <w:t>odzaje przemocy (psychiczna, fizyczna, ekonomiczna, seksualna, cyberprzemoc), możliwości reagowania, dostęp do wsparcia, znaczenie zdrowia psychicznego i empatii w środowisku pracy.</w:t>
      </w:r>
    </w:p>
    <w:p w:rsidR="003D46B7" w:rsidRPr="00562630" w:rsidRDefault="003D46B7" w:rsidP="009F6DC1">
      <w:pPr>
        <w:pStyle w:val="Akapitzlist"/>
        <w:numPr>
          <w:ilvl w:val="0"/>
          <w:numId w:val="1"/>
        </w:numPr>
        <w:spacing w:after="240"/>
        <w:ind w:left="284" w:hanging="284"/>
        <w:jc w:val="both"/>
      </w:pPr>
      <w:r w:rsidRPr="0081276A">
        <w:rPr>
          <w:rFonts w:eastAsia="Times New Roman"/>
          <w:b/>
        </w:rPr>
        <w:t>Zmiany</w:t>
      </w:r>
      <w:r w:rsidR="00562630" w:rsidRPr="0081276A">
        <w:rPr>
          <w:rFonts w:eastAsia="Times New Roman"/>
          <w:b/>
        </w:rPr>
        <w:t xml:space="preserve"> klimatu a równość</w:t>
      </w:r>
      <w:r w:rsidR="00562630" w:rsidRPr="00562630">
        <w:rPr>
          <w:rFonts w:eastAsia="Times New Roman"/>
        </w:rPr>
        <w:t xml:space="preserve"> – </w:t>
      </w:r>
      <w:r w:rsidR="0081276A">
        <w:rPr>
          <w:rFonts w:eastAsia="Times New Roman"/>
        </w:rPr>
        <w:t>W</w:t>
      </w:r>
      <w:r w:rsidR="00562630" w:rsidRPr="00562630">
        <w:rPr>
          <w:rFonts w:eastAsia="Times New Roman"/>
        </w:rPr>
        <w:t>pływ kryzysu klimatycznego na nierówności społeczne i płciowe, związki z migracjami i prawem do czystego środowiska.</w:t>
      </w:r>
    </w:p>
    <w:p w:rsidR="00562630" w:rsidRPr="00562630" w:rsidRDefault="00562630" w:rsidP="009F6DC1">
      <w:pPr>
        <w:pStyle w:val="Akapitzlist"/>
        <w:numPr>
          <w:ilvl w:val="0"/>
          <w:numId w:val="1"/>
        </w:numPr>
        <w:spacing w:after="240"/>
        <w:ind w:left="284" w:hanging="284"/>
        <w:jc w:val="both"/>
      </w:pPr>
      <w:proofErr w:type="spellStart"/>
      <w:r w:rsidRPr="0081276A">
        <w:rPr>
          <w:rFonts w:eastAsia="Times New Roman"/>
          <w:b/>
        </w:rPr>
        <w:t>Intersekcjonalność</w:t>
      </w:r>
      <w:proofErr w:type="spellEnd"/>
      <w:r w:rsidRPr="0081276A">
        <w:rPr>
          <w:rFonts w:eastAsia="Times New Roman"/>
          <w:b/>
        </w:rPr>
        <w:t xml:space="preserve"> i koło uprzywilejowania</w:t>
      </w:r>
      <w:r w:rsidRPr="00562630">
        <w:rPr>
          <w:rFonts w:eastAsia="Times New Roman"/>
        </w:rPr>
        <w:t xml:space="preserve"> – </w:t>
      </w:r>
      <w:r w:rsidR="0081276A">
        <w:rPr>
          <w:rFonts w:eastAsia="Times New Roman"/>
        </w:rPr>
        <w:t>P</w:t>
      </w:r>
      <w:r w:rsidRPr="00562630">
        <w:rPr>
          <w:rFonts w:eastAsia="Times New Roman"/>
        </w:rPr>
        <w:t>rzedstawienie podejścia uwzględniającego nakładanie się różnych cech tożsamościowych, które mogą prowadzić do wielowymiarowej dyskryminacji (np. ze względu na płeć, pochodzenie, niepełnosprawność). Zapoznanie z „kołem uprzywilejowania” jako narzędziem do analizy własnej pozycji społecznej oraz rozpoznawania mniej oczywistych form nierówności. Podkreślenie potrzeby uwzględniania złożoności sytuacji jednostek w politykach i projektach publicznych.</w:t>
      </w:r>
    </w:p>
    <w:p w:rsidR="009F6DC1" w:rsidRPr="009F6DC1" w:rsidRDefault="00562630" w:rsidP="009F6DC1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eastAsia="Times New Roman"/>
        </w:rPr>
      </w:pPr>
      <w:r w:rsidRPr="0081276A">
        <w:rPr>
          <w:rFonts w:eastAsia="Times New Roman"/>
          <w:b/>
        </w:rPr>
        <w:t>Dobre praktyki i narzędzia –</w:t>
      </w:r>
      <w:r w:rsidRPr="00562630">
        <w:rPr>
          <w:rFonts w:eastAsia="Times New Roman"/>
        </w:rPr>
        <w:t xml:space="preserve"> </w:t>
      </w:r>
      <w:r w:rsidR="0081276A">
        <w:rPr>
          <w:rFonts w:eastAsia="Times New Roman"/>
        </w:rPr>
        <w:t>O</w:t>
      </w:r>
      <w:r w:rsidRPr="00562630">
        <w:rPr>
          <w:rFonts w:eastAsia="Times New Roman"/>
        </w:rPr>
        <w:t xml:space="preserve">mówienie konkretnych rozwiązań wspierających wdrażanie zasady równego traktowania w instytucjach publicznych i organizacjach. Wśród nich: Karta Różnorodności (dobrowolne zobowiązanie do promowania różnorodności i równości), </w:t>
      </w:r>
      <w:proofErr w:type="spellStart"/>
      <w:r w:rsidRPr="00562630">
        <w:rPr>
          <w:rFonts w:eastAsia="Times New Roman"/>
        </w:rPr>
        <w:t>Gender</w:t>
      </w:r>
      <w:proofErr w:type="spellEnd"/>
      <w:r w:rsidRPr="00562630">
        <w:rPr>
          <w:rFonts w:eastAsia="Times New Roman"/>
        </w:rPr>
        <w:t xml:space="preserve"> </w:t>
      </w:r>
      <w:proofErr w:type="spellStart"/>
      <w:r w:rsidRPr="00562630">
        <w:rPr>
          <w:rFonts w:eastAsia="Times New Roman"/>
        </w:rPr>
        <w:t>Equality</w:t>
      </w:r>
      <w:proofErr w:type="spellEnd"/>
      <w:r w:rsidRPr="00562630">
        <w:rPr>
          <w:rFonts w:eastAsia="Times New Roman"/>
        </w:rPr>
        <w:t xml:space="preserve"> Plan (GEP) jako narzędzie systemowego planowania działań na rzecz równości płci, wewnętrzne polityki </w:t>
      </w:r>
      <w:proofErr w:type="spellStart"/>
      <w:r w:rsidRPr="00562630">
        <w:rPr>
          <w:rFonts w:eastAsia="Times New Roman"/>
        </w:rPr>
        <w:t>antymobbingowe</w:t>
      </w:r>
      <w:proofErr w:type="spellEnd"/>
      <w:r w:rsidRPr="00562630">
        <w:rPr>
          <w:rFonts w:eastAsia="Times New Roman"/>
        </w:rPr>
        <w:t xml:space="preserve"> i antydyskryminacyjne, tworzenie i rola pełnomocników ds. równego traktowania. Przedstawienie wybranych przykładów wdrażania tych rozwiązań – zarówno w kontekście lokalnym (np. Pomorze Zachodnie), jak i międzynarodowym (np. działania podejmowane w Wiedniu).</w:t>
      </w:r>
    </w:p>
    <w:p w:rsidR="00E8093C" w:rsidRPr="009F6DC1" w:rsidRDefault="00DA438E" w:rsidP="009F6DC1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eastAsia="Times New Roman"/>
        </w:rPr>
      </w:pPr>
      <w:r w:rsidRPr="0081276A">
        <w:rPr>
          <w:rFonts w:eastAsia="Times New Roman"/>
          <w:b/>
        </w:rPr>
        <w:t>Perspektywa mniejszości –</w:t>
      </w:r>
      <w:r w:rsidRPr="00DA438E">
        <w:rPr>
          <w:rFonts w:eastAsia="Times New Roman"/>
        </w:rPr>
        <w:t xml:space="preserve"> </w:t>
      </w:r>
      <w:r w:rsidR="0081276A">
        <w:rPr>
          <w:rFonts w:eastAsia="Times New Roman"/>
        </w:rPr>
        <w:t>U</w:t>
      </w:r>
      <w:r w:rsidRPr="00DA438E">
        <w:rPr>
          <w:rFonts w:eastAsia="Times New Roman"/>
        </w:rPr>
        <w:t>względnienie specyfiki grup niewidocznych i marginalizowanych, potrzeba projektowania działań odpowiadających na ich potrzeby.</w:t>
      </w:r>
    </w:p>
    <w:p w:rsidR="00562630" w:rsidRPr="00562630" w:rsidRDefault="00E8093C" w:rsidP="009F6DC1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eastAsia="Times New Roman"/>
        </w:rPr>
      </w:pPr>
      <w:r w:rsidRPr="0081276A">
        <w:rPr>
          <w:rFonts w:eastAsia="Times New Roman"/>
          <w:b/>
        </w:rPr>
        <w:t>Równościowe miejsce pracy –</w:t>
      </w:r>
      <w:r w:rsidRPr="00E8093C">
        <w:rPr>
          <w:rFonts w:eastAsia="Times New Roman"/>
        </w:rPr>
        <w:t xml:space="preserve"> </w:t>
      </w:r>
      <w:r w:rsidR="0081276A">
        <w:rPr>
          <w:rFonts w:eastAsia="Times New Roman"/>
        </w:rPr>
        <w:t>J</w:t>
      </w:r>
      <w:r w:rsidRPr="00E8093C">
        <w:rPr>
          <w:rFonts w:eastAsia="Times New Roman"/>
        </w:rPr>
        <w:t>ak zapobiegać dyskryminacji i tworzyć środowisko pracy sprzyjające równości.</w:t>
      </w:r>
    </w:p>
    <w:p w:rsidR="009F6DC1" w:rsidRPr="009F6DC1" w:rsidRDefault="009F6DC1" w:rsidP="009F6DC1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eastAsia="Times New Roman"/>
        </w:rPr>
      </w:pPr>
      <w:r w:rsidRPr="0081276A">
        <w:rPr>
          <w:rFonts w:eastAsia="Times New Roman"/>
          <w:b/>
        </w:rPr>
        <w:t>Organizacja wydarzeń w sposób równościowy –</w:t>
      </w:r>
      <w:r w:rsidRPr="009F6DC1">
        <w:rPr>
          <w:rFonts w:eastAsia="Times New Roman"/>
        </w:rPr>
        <w:t xml:space="preserve"> </w:t>
      </w:r>
      <w:r w:rsidR="0081276A">
        <w:rPr>
          <w:rFonts w:eastAsia="Times New Roman"/>
        </w:rPr>
        <w:t>Z</w:t>
      </w:r>
      <w:r w:rsidRPr="009F6DC1">
        <w:rPr>
          <w:rFonts w:eastAsia="Times New Roman"/>
        </w:rPr>
        <w:t>godnie z rekomendacjami Towarzystwa Edukacji Antydyskryminacyjnej i standardami jakościowymi.</w:t>
      </w:r>
    </w:p>
    <w:p w:rsidR="00B44255" w:rsidRDefault="00B44255" w:rsidP="0081276A">
      <w:pPr>
        <w:spacing w:after="240"/>
        <w:jc w:val="both"/>
      </w:pPr>
    </w:p>
    <w:sectPr w:rsidR="00B442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D6B" w:rsidRDefault="00336D6B" w:rsidP="00336D6B">
      <w:pPr>
        <w:spacing w:after="0" w:line="240" w:lineRule="auto"/>
      </w:pPr>
      <w:r>
        <w:separator/>
      </w:r>
    </w:p>
  </w:endnote>
  <w:endnote w:type="continuationSeparator" w:id="0">
    <w:p w:rsidR="00336D6B" w:rsidRDefault="00336D6B" w:rsidP="0033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D6B" w:rsidRDefault="00336D6B" w:rsidP="00336D6B">
      <w:pPr>
        <w:spacing w:after="0" w:line="240" w:lineRule="auto"/>
      </w:pPr>
      <w:r>
        <w:separator/>
      </w:r>
    </w:p>
  </w:footnote>
  <w:footnote w:type="continuationSeparator" w:id="0">
    <w:p w:rsidR="00336D6B" w:rsidRDefault="00336D6B" w:rsidP="00336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D6B" w:rsidRDefault="00336D6B" w:rsidP="00336D6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DF63A0" wp14:editId="10FDBC8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4318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6D6B" w:rsidRDefault="00336D6B" w:rsidP="00336D6B">
    <w:pPr>
      <w:pStyle w:val="Nagwek"/>
    </w:pPr>
  </w:p>
  <w:p w:rsidR="00336D6B" w:rsidRDefault="00336D6B" w:rsidP="00336D6B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336D6B" w:rsidRDefault="00336D6B" w:rsidP="00336D6B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336D6B" w:rsidRDefault="00336D6B" w:rsidP="00336D6B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336D6B" w:rsidRDefault="00336D6B" w:rsidP="00336D6B">
    <w:pPr>
      <w:pStyle w:val="Nagwek"/>
      <w:ind w:left="-851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Załącznik nr 1</w:t>
    </w:r>
    <w:r w:rsidRPr="00D5610F">
      <w:rPr>
        <w:rFonts w:ascii="Arial" w:hAnsi="Arial" w:cs="Arial"/>
        <w:b/>
        <w:sz w:val="18"/>
        <w:szCs w:val="18"/>
      </w:rPr>
      <w:t xml:space="preserve"> do zapytania ofertowego</w:t>
    </w:r>
  </w:p>
  <w:p w:rsidR="00336D6B" w:rsidRDefault="00336D6B" w:rsidP="00336D6B">
    <w:pPr>
      <w:pStyle w:val="Nagwek"/>
    </w:pPr>
  </w:p>
  <w:p w:rsidR="00562630" w:rsidRDefault="00562630" w:rsidP="00336D6B">
    <w:pPr>
      <w:pStyle w:val="Nagwek"/>
    </w:pPr>
  </w:p>
  <w:p w:rsidR="00562630" w:rsidRPr="00336D6B" w:rsidRDefault="00562630" w:rsidP="00336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5848"/>
    <w:multiLevelType w:val="hybridMultilevel"/>
    <w:tmpl w:val="F3AE0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B5721"/>
    <w:multiLevelType w:val="hybridMultilevel"/>
    <w:tmpl w:val="59DCBDC6"/>
    <w:lvl w:ilvl="0" w:tplc="F920F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1D37"/>
    <w:multiLevelType w:val="multilevel"/>
    <w:tmpl w:val="F31E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D3326"/>
    <w:multiLevelType w:val="hybridMultilevel"/>
    <w:tmpl w:val="11C64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B7"/>
    <w:rsid w:val="002D2204"/>
    <w:rsid w:val="00336D6B"/>
    <w:rsid w:val="003D46B7"/>
    <w:rsid w:val="00562630"/>
    <w:rsid w:val="00612BC8"/>
    <w:rsid w:val="0081276A"/>
    <w:rsid w:val="009F6DC1"/>
    <w:rsid w:val="00AD0A5E"/>
    <w:rsid w:val="00B44255"/>
    <w:rsid w:val="00C725E4"/>
    <w:rsid w:val="00DA438E"/>
    <w:rsid w:val="00E8093C"/>
    <w:rsid w:val="00F44ADA"/>
    <w:rsid w:val="00FA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12A7"/>
  <w15:chartTrackingRefBased/>
  <w15:docId w15:val="{695F80FF-FA1E-4F57-9C8E-977DBB35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46B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D46B7"/>
    <w:pPr>
      <w:spacing w:after="0" w:line="240" w:lineRule="auto"/>
      <w:ind w:left="720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336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D6B"/>
  </w:style>
  <w:style w:type="paragraph" w:styleId="Stopka">
    <w:name w:val="footer"/>
    <w:basedOn w:val="Normalny"/>
    <w:link w:val="StopkaZnak"/>
    <w:uiPriority w:val="99"/>
    <w:unhideWhenUsed/>
    <w:rsid w:val="00336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D6B"/>
  </w:style>
  <w:style w:type="character" w:styleId="Odwoaniedokomentarza">
    <w:name w:val="annotation reference"/>
    <w:basedOn w:val="Domylnaczcionkaakapitu"/>
    <w:uiPriority w:val="99"/>
    <w:semiHidden/>
    <w:unhideWhenUsed/>
    <w:rsid w:val="005626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6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6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6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6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63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D2204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12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tektoniczki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ED3C3-E23E-4B6E-9238-2581DD4A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8638</TotalTime>
  <Pages>2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Justyna Sobieska</cp:lastModifiedBy>
  <cp:revision>3</cp:revision>
  <dcterms:created xsi:type="dcterms:W3CDTF">2025-06-03T07:22:00Z</dcterms:created>
  <dcterms:modified xsi:type="dcterms:W3CDTF">2025-06-30T12:00:00Z</dcterms:modified>
</cp:coreProperties>
</file>