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A1" w:rsidRPr="00B443A1" w:rsidRDefault="00B443A1" w:rsidP="00B443A1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B443A1">
        <w:rPr>
          <w:rFonts w:ascii="Arial" w:hAnsi="Arial" w:cs="Arial"/>
          <w:i/>
          <w:sz w:val="18"/>
          <w:szCs w:val="18"/>
        </w:rPr>
        <w:t xml:space="preserve">Załącznik do Metodyki rozliczania wydatków </w:t>
      </w:r>
      <w:proofErr w:type="spellStart"/>
      <w:r w:rsidRPr="00B443A1">
        <w:rPr>
          <w:rFonts w:ascii="Arial" w:hAnsi="Arial" w:cs="Arial"/>
          <w:i/>
          <w:sz w:val="18"/>
          <w:szCs w:val="18"/>
        </w:rPr>
        <w:t>kwalifikowalnych</w:t>
      </w:r>
      <w:proofErr w:type="spellEnd"/>
      <w:r w:rsidRPr="00B443A1">
        <w:rPr>
          <w:rFonts w:ascii="Arial" w:hAnsi="Arial" w:cs="Arial"/>
          <w:i/>
          <w:sz w:val="18"/>
          <w:szCs w:val="18"/>
        </w:rPr>
        <w:t xml:space="preserve"> w ramach pomocy technicznej Regionalnego Programu Operacyjnego Województwa Zachodniopomorskiego 2014-2020 </w:t>
      </w:r>
      <w:r>
        <w:rPr>
          <w:rFonts w:ascii="Arial" w:hAnsi="Arial" w:cs="Arial"/>
          <w:i/>
          <w:sz w:val="18"/>
          <w:szCs w:val="18"/>
        </w:rPr>
        <w:t>przyjętej</w:t>
      </w:r>
      <w:r w:rsidRPr="00B443A1">
        <w:rPr>
          <w:rFonts w:ascii="Arial" w:hAnsi="Arial" w:cs="Arial"/>
          <w:i/>
          <w:sz w:val="18"/>
          <w:szCs w:val="18"/>
        </w:rPr>
        <w:t xml:space="preserve"> przez Zarząd Województwa Zachodniopomorskiego uchwałą nr </w:t>
      </w:r>
      <w:r>
        <w:rPr>
          <w:rFonts w:ascii="Arial" w:hAnsi="Arial" w:cs="Arial"/>
          <w:i/>
          <w:sz w:val="18"/>
          <w:szCs w:val="18"/>
        </w:rPr>
        <w:t>____/19</w:t>
      </w:r>
      <w:r w:rsidRPr="00B443A1">
        <w:rPr>
          <w:rFonts w:ascii="Arial" w:hAnsi="Arial" w:cs="Arial"/>
          <w:i/>
          <w:sz w:val="18"/>
          <w:szCs w:val="18"/>
        </w:rPr>
        <w:t xml:space="preserve"> z dnia 30 grudnia 2019 r.</w:t>
      </w:r>
    </w:p>
    <w:p w:rsidR="00B443A1" w:rsidRDefault="00B443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443A1" w:rsidRPr="00D65704" w:rsidRDefault="00694042" w:rsidP="00B443A1">
      <w:pPr>
        <w:spacing w:after="0" w:line="360" w:lineRule="auto"/>
        <w:jc w:val="center"/>
        <w:rPr>
          <w:rFonts w:ascii="Arial" w:hAnsi="Arial" w:cs="Arial"/>
          <w:b/>
        </w:rPr>
      </w:pPr>
      <w:r w:rsidRPr="00D65704">
        <w:rPr>
          <w:rFonts w:ascii="Arial" w:hAnsi="Arial" w:cs="Arial"/>
          <w:b/>
        </w:rPr>
        <w:t xml:space="preserve">Metodologia obliczania podziału kosztów </w:t>
      </w:r>
      <w:r w:rsidR="00B443A1" w:rsidRPr="00D65704">
        <w:rPr>
          <w:rFonts w:ascii="Arial" w:hAnsi="Arial" w:cs="Arial"/>
          <w:b/>
        </w:rPr>
        <w:t>realizacji inwestycji pn.</w:t>
      </w:r>
      <w:r w:rsidRPr="00D65704">
        <w:rPr>
          <w:rFonts w:ascii="Arial" w:hAnsi="Arial" w:cs="Arial"/>
          <w:b/>
        </w:rPr>
        <w:t xml:space="preserve"> </w:t>
      </w:r>
    </w:p>
    <w:p w:rsidR="00B443A1" w:rsidRPr="00D65704" w:rsidRDefault="00694042" w:rsidP="00B443A1">
      <w:pPr>
        <w:spacing w:after="0" w:line="360" w:lineRule="auto"/>
        <w:jc w:val="center"/>
        <w:rPr>
          <w:rFonts w:ascii="Arial" w:hAnsi="Arial" w:cs="Arial"/>
          <w:b/>
        </w:rPr>
      </w:pPr>
      <w:r w:rsidRPr="00D65704">
        <w:rPr>
          <w:rFonts w:ascii="Arial" w:hAnsi="Arial" w:cs="Arial"/>
          <w:b/>
          <w:i/>
        </w:rPr>
        <w:t>Konsolidacja siedziby Urzędu Marszałkowskiego Województwa Zachodniopomorskiego w Szczecinie</w:t>
      </w:r>
      <w:r w:rsidRPr="00D65704">
        <w:rPr>
          <w:rFonts w:ascii="Arial" w:hAnsi="Arial" w:cs="Arial"/>
          <w:b/>
        </w:rPr>
        <w:t>,</w:t>
      </w:r>
    </w:p>
    <w:p w:rsidR="00B443A1" w:rsidRDefault="00694042" w:rsidP="00B443A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43A1">
        <w:rPr>
          <w:rFonts w:ascii="Arial" w:hAnsi="Arial" w:cs="Arial"/>
          <w:b/>
          <w:sz w:val="20"/>
          <w:szCs w:val="20"/>
        </w:rPr>
        <w:t xml:space="preserve">w zakresie której Wydział Inwestycji i Nieruchomości UMWZ realizuje projekty </w:t>
      </w:r>
    </w:p>
    <w:p w:rsidR="00B443A1" w:rsidRPr="00B443A1" w:rsidRDefault="00694042" w:rsidP="00B443A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43A1">
        <w:rPr>
          <w:rFonts w:ascii="Arial" w:hAnsi="Arial" w:cs="Arial"/>
          <w:b/>
          <w:sz w:val="20"/>
          <w:szCs w:val="20"/>
        </w:rPr>
        <w:t>w ramach Pomocy Technicznej RPO WZ 2014-2020</w:t>
      </w:r>
    </w:p>
    <w:p w:rsidR="00B443A1" w:rsidRDefault="00B443A1">
      <w:pPr>
        <w:spacing w:line="360" w:lineRule="auto"/>
        <w:rPr>
          <w:rFonts w:ascii="Arial" w:hAnsi="Arial" w:cs="Arial"/>
          <w:sz w:val="20"/>
          <w:szCs w:val="20"/>
        </w:rPr>
      </w:pPr>
    </w:p>
    <w:p w:rsidR="00B443A1" w:rsidRDefault="006940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Niniejsza metodologia ma zastosowanie do rozliczania wydatków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kwalifikowalnych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ponoszonych </w:t>
      </w:r>
      <w:r w:rsidRPr="00694042">
        <w:rPr>
          <w:rFonts w:ascii="Arial" w:eastAsia="Times New Roman" w:hAnsi="Arial" w:cs="Arial"/>
          <w:sz w:val="20"/>
          <w:szCs w:val="20"/>
        </w:rPr>
        <w:br/>
        <w:t xml:space="preserve">w ramach Pomocy Technicznej RPO WZ 2014-2020 przez Wydział Inwestycji i Nieruchomości Urzędu Marszałkowskiego Województwa Zachodniopomorskiego, w zakresie realizacji inwestycji pn. </w:t>
      </w:r>
      <w:r w:rsidRPr="00694042">
        <w:rPr>
          <w:rFonts w:ascii="Arial" w:eastAsia="Times New Roman" w:hAnsi="Arial" w:cs="Arial"/>
          <w:i/>
          <w:sz w:val="20"/>
          <w:szCs w:val="20"/>
        </w:rPr>
        <w:t>Konsolidacja siedziby Urzędu Marszałkowskiego Województwa Zachodniopomorskiego w Szczecini</w:t>
      </w:r>
      <w:r w:rsidR="00B443A1">
        <w:rPr>
          <w:rFonts w:ascii="Arial" w:eastAsia="Times New Roman" w:hAnsi="Arial" w:cs="Arial"/>
          <w:sz w:val="20"/>
          <w:szCs w:val="20"/>
        </w:rPr>
        <w:t>e</w:t>
      </w:r>
      <w:r w:rsidRPr="00694042">
        <w:rPr>
          <w:rFonts w:ascii="Arial" w:eastAsia="Times New Roman" w:hAnsi="Arial" w:cs="Arial"/>
          <w:sz w:val="20"/>
          <w:szCs w:val="20"/>
        </w:rPr>
        <w:t>. Inwestycja podzielona została na dwa zadania, realizowane za pośrednictwem trzech projektów:</w:t>
      </w:r>
    </w:p>
    <w:p w:rsidR="00B443A1" w:rsidRDefault="0069404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94042">
        <w:rPr>
          <w:rFonts w:ascii="Arial" w:hAnsi="Arial" w:cs="Arial"/>
          <w:i/>
          <w:sz w:val="20"/>
          <w:szCs w:val="20"/>
        </w:rPr>
        <w:t>Zadanie 1</w:t>
      </w:r>
    </w:p>
    <w:p w:rsidR="00B443A1" w:rsidRDefault="00694042" w:rsidP="00B443A1">
      <w:pPr>
        <w:spacing w:after="0" w:line="360" w:lineRule="auto"/>
        <w:ind w:firstLine="426"/>
        <w:jc w:val="both"/>
        <w:rPr>
          <w:rFonts w:ascii="Arial" w:eastAsia="Times New Roman" w:hAnsi="Arial" w:cs="Arial"/>
          <w:i/>
          <w:sz w:val="20"/>
          <w:szCs w:val="20"/>
        </w:rPr>
      </w:pPr>
      <w:r w:rsidRPr="00694042">
        <w:rPr>
          <w:rFonts w:ascii="Arial" w:eastAsia="Times New Roman" w:hAnsi="Arial" w:cs="Arial"/>
          <w:i/>
          <w:sz w:val="20"/>
          <w:szCs w:val="20"/>
        </w:rPr>
        <w:t>Projekt nr 1</w:t>
      </w:r>
    </w:p>
    <w:p w:rsidR="00B443A1" w:rsidRDefault="00694042" w:rsidP="00B443A1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 "Termomodernizacja budynku przy ulicy Piłsudskiego 40-42 w Szczecinie na potrzeby siedziby Urzędu Marszałkowskiego Województwa Zachodniopomorskiego w Szczecinie" (działanie 2.13 RPO WZ 2014-2020).</w:t>
      </w:r>
    </w:p>
    <w:p w:rsidR="00B443A1" w:rsidRDefault="00B443A1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B443A1" w:rsidRDefault="0069404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i/>
          <w:sz w:val="20"/>
          <w:szCs w:val="20"/>
        </w:rPr>
      </w:pPr>
      <w:r w:rsidRPr="00694042">
        <w:rPr>
          <w:rFonts w:ascii="Arial" w:eastAsia="Times New Roman" w:hAnsi="Arial" w:cs="Arial"/>
          <w:i/>
          <w:sz w:val="20"/>
          <w:szCs w:val="20"/>
        </w:rPr>
        <w:t>Projekt nr 2</w:t>
      </w:r>
    </w:p>
    <w:p w:rsidR="00B443A1" w:rsidRDefault="0069404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„Remont, modernizacja i adaptacja budynku na potrzeby instytucji zajmującej się realizacją zadań w ramach RPO WZ 2014-2020 w XXXX roku” (działanie 10.1. RPO WZ 2014-2020) – na projekt nr 2 składają się kolejne odrębne projekty realizowane w okresie jednego roku budżetowego, począwszy od </w:t>
      </w:r>
      <w:r w:rsidR="00C133F2">
        <w:rPr>
          <w:rFonts w:ascii="Arial" w:eastAsia="Times New Roman" w:hAnsi="Arial" w:cs="Arial"/>
          <w:sz w:val="20"/>
          <w:szCs w:val="20"/>
        </w:rPr>
        <w:t xml:space="preserve">września </w:t>
      </w:r>
      <w:r w:rsidRPr="00694042">
        <w:rPr>
          <w:rFonts w:ascii="Arial" w:eastAsia="Times New Roman" w:hAnsi="Arial" w:cs="Arial"/>
          <w:sz w:val="20"/>
          <w:szCs w:val="20"/>
        </w:rPr>
        <w:t>2019</w:t>
      </w:r>
      <w:r w:rsidR="00C133F2">
        <w:rPr>
          <w:rFonts w:ascii="Arial" w:eastAsia="Times New Roman" w:hAnsi="Arial" w:cs="Arial"/>
          <w:sz w:val="20"/>
          <w:szCs w:val="20"/>
        </w:rPr>
        <w:t xml:space="preserve"> r</w:t>
      </w:r>
      <w:r w:rsidRPr="00694042">
        <w:rPr>
          <w:rFonts w:ascii="Arial" w:eastAsia="Times New Roman" w:hAnsi="Arial" w:cs="Arial"/>
          <w:sz w:val="20"/>
          <w:szCs w:val="20"/>
        </w:rPr>
        <w:t>.</w:t>
      </w:r>
    </w:p>
    <w:p w:rsidR="00B443A1" w:rsidRDefault="00694042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694042">
        <w:rPr>
          <w:rFonts w:ascii="Arial" w:eastAsia="Times New Roman" w:hAnsi="Arial" w:cs="Arial"/>
          <w:i/>
          <w:sz w:val="20"/>
          <w:szCs w:val="20"/>
        </w:rPr>
        <w:t>Zadanie 2</w:t>
      </w:r>
    </w:p>
    <w:p w:rsidR="00B443A1" w:rsidRDefault="00694042" w:rsidP="00B443A1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i/>
          <w:sz w:val="20"/>
          <w:szCs w:val="20"/>
        </w:rPr>
        <w:t>Projekt nr 3</w:t>
      </w:r>
    </w:p>
    <w:p w:rsidR="00B443A1" w:rsidRDefault="00694042" w:rsidP="00B443A1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>„Budowa demonstracyjnego budynku pasywnego siedziby Urzędu Marszałkowskiego Województwa Zachodniopomorskiego w Szczecinie” (działanie 2.1 RPO WZ 2014-2020).</w:t>
      </w:r>
    </w:p>
    <w:p w:rsidR="00B443A1" w:rsidRDefault="00B443A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443A1" w:rsidRDefault="00694042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Niniejsza metodologia dotyczy rozliczania wydatków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kwalifikowalnych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ponoszonych w Projekcie nr 2 </w:t>
      </w:r>
      <w:r w:rsidR="004D34CA">
        <w:rPr>
          <w:rFonts w:ascii="Arial" w:eastAsia="Times New Roman" w:hAnsi="Arial" w:cs="Arial"/>
          <w:sz w:val="20"/>
          <w:szCs w:val="20"/>
        </w:rPr>
        <w:br/>
      </w:r>
      <w:r w:rsidRPr="00694042">
        <w:rPr>
          <w:rFonts w:ascii="Arial" w:eastAsia="Times New Roman" w:hAnsi="Arial" w:cs="Arial"/>
          <w:sz w:val="20"/>
          <w:szCs w:val="20"/>
        </w:rPr>
        <w:t>i obowiązuje od początku jego realizacji.</w:t>
      </w:r>
    </w:p>
    <w:p w:rsidR="00C51F57" w:rsidRDefault="00C51F57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443A1" w:rsidRDefault="00694042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lastRenderedPageBreak/>
        <w:t>Poniż</w:t>
      </w:r>
      <w:r w:rsidR="00B443A1">
        <w:rPr>
          <w:rFonts w:ascii="Arial" w:eastAsia="Times New Roman" w:hAnsi="Arial" w:cs="Arial"/>
          <w:sz w:val="20"/>
          <w:szCs w:val="20"/>
        </w:rPr>
        <w:t>ej zamieszczone</w:t>
      </w:r>
      <w:r w:rsidRPr="00694042">
        <w:rPr>
          <w:rFonts w:ascii="Arial" w:eastAsia="Times New Roman" w:hAnsi="Arial" w:cs="Arial"/>
          <w:sz w:val="20"/>
          <w:szCs w:val="20"/>
        </w:rPr>
        <w:t xml:space="preserve"> wskaźniki zostały wyliczone na podstawie dokumentów stanowiących Załączniki do niniejszej metodologii:</w:t>
      </w:r>
    </w:p>
    <w:p w:rsidR="00B443A1" w:rsidRPr="00B443A1" w:rsidRDefault="00694042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694042">
        <w:rPr>
          <w:rFonts w:ascii="Arial" w:eastAsia="Times New Roman" w:hAnsi="Arial" w:cs="Arial"/>
          <w:i/>
          <w:sz w:val="20"/>
          <w:szCs w:val="20"/>
        </w:rPr>
        <w:t>Załącznik nr 1</w:t>
      </w:r>
      <w:r w:rsidR="00B443A1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B443A1" w:rsidRPr="00B443A1">
        <w:rPr>
          <w:rFonts w:ascii="Arial" w:eastAsia="Times New Roman" w:hAnsi="Arial" w:cs="Arial"/>
          <w:i/>
          <w:sz w:val="20"/>
          <w:szCs w:val="20"/>
        </w:rPr>
        <w:t xml:space="preserve">– </w:t>
      </w:r>
      <w:r w:rsidRPr="00B443A1">
        <w:rPr>
          <w:rFonts w:ascii="Arial" w:eastAsia="Times New Roman" w:hAnsi="Arial" w:cs="Arial"/>
          <w:i/>
          <w:sz w:val="20"/>
          <w:szCs w:val="20"/>
        </w:rPr>
        <w:t>Szczegółowe zestawienie powierzchni poszczególnych pomieszczeń</w:t>
      </w:r>
      <w:r w:rsidRPr="00694042">
        <w:rPr>
          <w:rFonts w:ascii="Arial" w:eastAsia="Times New Roman" w:hAnsi="Arial" w:cs="Arial"/>
          <w:sz w:val="20"/>
          <w:szCs w:val="20"/>
        </w:rPr>
        <w:t xml:space="preserve"> </w:t>
      </w:r>
    </w:p>
    <w:p w:rsidR="00B443A1" w:rsidRDefault="00694042">
      <w:pPr>
        <w:spacing w:line="360" w:lineRule="auto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– dla budynku na potrzeby instytucji zajmującej się realizacją zadań w ramach RPO WZ 2014-2020, wyliczone na podstawie projektu budowlanego zawierającego szczegółowy program funkcjonalny określający rozmieszczenie poszczególnych komórek organizacyjnych Urzędu, sporządzonego przez projektanta mgr inż. Małgorzatę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Golenko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</w:t>
      </w:r>
      <w:r w:rsidR="004D34CA">
        <w:rPr>
          <w:rFonts w:ascii="Arial" w:eastAsia="Times New Roman" w:hAnsi="Arial" w:cs="Arial"/>
          <w:sz w:val="20"/>
          <w:szCs w:val="20"/>
        </w:rPr>
        <w:br/>
      </w:r>
      <w:r w:rsidRPr="00694042">
        <w:rPr>
          <w:rFonts w:ascii="Arial" w:eastAsia="Times New Roman" w:hAnsi="Arial" w:cs="Arial"/>
          <w:sz w:val="20"/>
          <w:szCs w:val="20"/>
        </w:rPr>
        <w:t>z pr</w:t>
      </w:r>
      <w:r w:rsidR="009246EA">
        <w:rPr>
          <w:rFonts w:ascii="Arial" w:eastAsia="Times New Roman" w:hAnsi="Arial" w:cs="Arial"/>
          <w:sz w:val="20"/>
          <w:szCs w:val="20"/>
        </w:rPr>
        <w:t>acowni projektowej Pas Projekt S</w:t>
      </w:r>
      <w:r w:rsidRPr="00694042">
        <w:rPr>
          <w:rFonts w:ascii="Arial" w:eastAsia="Times New Roman" w:hAnsi="Arial" w:cs="Arial"/>
          <w:sz w:val="20"/>
          <w:szCs w:val="20"/>
        </w:rPr>
        <w:t xml:space="preserve">p. z o.o. z siedzibą w Nadarzynie; na podstawie projektu budowlanego wydana została Decyzja Nr 1078/18 z dnia 24 lipca 2018 roku Prezydenta Miasta Szczecin zatwierdzająca projekt budowlany i udzielająca pozwolenia na budowę. </w:t>
      </w:r>
    </w:p>
    <w:p w:rsidR="00B443A1" w:rsidRPr="00B443A1" w:rsidRDefault="00694042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694042">
        <w:rPr>
          <w:rFonts w:ascii="Arial" w:eastAsia="Times New Roman" w:hAnsi="Arial" w:cs="Arial"/>
          <w:i/>
          <w:sz w:val="20"/>
          <w:szCs w:val="20"/>
        </w:rPr>
        <w:t>Załącznik nr 2</w:t>
      </w:r>
      <w:r w:rsidR="00B443A1">
        <w:rPr>
          <w:rFonts w:ascii="Arial" w:eastAsia="Times New Roman" w:hAnsi="Arial" w:cs="Arial"/>
          <w:i/>
          <w:sz w:val="20"/>
          <w:szCs w:val="20"/>
        </w:rPr>
        <w:t xml:space="preserve"> – </w:t>
      </w:r>
      <w:r w:rsidRPr="00B443A1">
        <w:rPr>
          <w:rFonts w:ascii="Arial" w:eastAsia="Times New Roman" w:hAnsi="Arial" w:cs="Arial"/>
          <w:i/>
          <w:sz w:val="20"/>
          <w:szCs w:val="20"/>
        </w:rPr>
        <w:t>Rozbicie ceny ofertowej</w:t>
      </w:r>
    </w:p>
    <w:p w:rsidR="00B443A1" w:rsidRDefault="00694042">
      <w:pPr>
        <w:spacing w:line="360" w:lineRule="auto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– przygotowane przez Wykonawcę robót, na podstawie oferty pt. „Wykonanie usług architektonicznych i inżynieryjnych w zakresie projektowania oraz robót budowlanych dla zadania Konsolidacja siedziby Urzędu Marszałkowskiego Województwa Zachodniopomorskiego w Szczecinie”; cenę ofertową rozbito na koszty techniczne niezbędne do zapewnienia sprawnego funkcjonowania instytucji zaangażowanych we wdrażanie funduszy polityki spójności, zgodnie z Wytycznymi w zakresie wykorzystania środków pomocy technicznej na lata 2014-2020 określonymi przez Ministra Rozwoju </w:t>
      </w:r>
      <w:r w:rsidR="004D34CA">
        <w:rPr>
          <w:rFonts w:ascii="Arial" w:eastAsia="Times New Roman" w:hAnsi="Arial" w:cs="Arial"/>
          <w:sz w:val="20"/>
          <w:szCs w:val="20"/>
        </w:rPr>
        <w:br/>
      </w:r>
      <w:r w:rsidRPr="00694042">
        <w:rPr>
          <w:rFonts w:ascii="Arial" w:eastAsia="Times New Roman" w:hAnsi="Arial" w:cs="Arial"/>
          <w:sz w:val="20"/>
          <w:szCs w:val="20"/>
        </w:rPr>
        <w:t xml:space="preserve">i Finansów; planowane koszty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 dla Projektu nr 2 wynoszą 11.</w:t>
      </w:r>
      <w:r w:rsidR="004D34CA">
        <w:rPr>
          <w:rFonts w:ascii="Arial" w:eastAsia="Times New Roman" w:hAnsi="Arial" w:cs="Arial"/>
          <w:sz w:val="20"/>
          <w:szCs w:val="20"/>
        </w:rPr>
        <w:t>349.609,10</w:t>
      </w:r>
      <w:r w:rsidRPr="00694042">
        <w:rPr>
          <w:rFonts w:ascii="Arial" w:eastAsia="Times New Roman" w:hAnsi="Arial" w:cs="Arial"/>
          <w:sz w:val="20"/>
          <w:szCs w:val="20"/>
        </w:rPr>
        <w:t> zł netto (13.</w:t>
      </w:r>
      <w:r w:rsidR="009246EA">
        <w:rPr>
          <w:rFonts w:ascii="Arial" w:eastAsia="Times New Roman" w:hAnsi="Arial" w:cs="Arial"/>
          <w:sz w:val="20"/>
          <w:szCs w:val="20"/>
        </w:rPr>
        <w:t>96</w:t>
      </w:r>
      <w:r w:rsidR="004D34CA">
        <w:rPr>
          <w:rFonts w:ascii="Arial" w:eastAsia="Times New Roman" w:hAnsi="Arial" w:cs="Arial"/>
          <w:sz w:val="20"/>
          <w:szCs w:val="20"/>
        </w:rPr>
        <w:t>0.019,19</w:t>
      </w:r>
      <w:r w:rsidRPr="00694042">
        <w:rPr>
          <w:rFonts w:ascii="Arial" w:eastAsia="Times New Roman" w:hAnsi="Arial" w:cs="Arial"/>
          <w:sz w:val="20"/>
          <w:szCs w:val="20"/>
        </w:rPr>
        <w:t xml:space="preserve"> zł brutto). </w:t>
      </w:r>
    </w:p>
    <w:p w:rsidR="00B443A1" w:rsidRDefault="00B443A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443A1" w:rsidRPr="00483C4C" w:rsidRDefault="00694042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483C4C">
        <w:rPr>
          <w:rFonts w:ascii="Arial" w:eastAsia="Times New Roman" w:hAnsi="Arial" w:cs="Arial"/>
          <w:b/>
        </w:rPr>
        <w:t>Rozliczenie robót budowlanych</w:t>
      </w:r>
    </w:p>
    <w:p w:rsidR="00B443A1" w:rsidRDefault="00694042" w:rsidP="009246E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Koszty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związane z robotami budowlanymi dotyczą tylko prac </w:t>
      </w:r>
      <w:r w:rsidR="009246EA">
        <w:rPr>
          <w:rFonts w:ascii="Arial" w:eastAsia="Times New Roman" w:hAnsi="Arial" w:cs="Arial"/>
          <w:sz w:val="20"/>
          <w:szCs w:val="20"/>
        </w:rPr>
        <w:t xml:space="preserve">związanych </w:t>
      </w:r>
      <w:r w:rsidR="004D34CA">
        <w:rPr>
          <w:rFonts w:ascii="Arial" w:eastAsia="Times New Roman" w:hAnsi="Arial" w:cs="Arial"/>
          <w:sz w:val="20"/>
          <w:szCs w:val="20"/>
        </w:rPr>
        <w:br/>
      </w:r>
      <w:r w:rsidR="009246EA">
        <w:rPr>
          <w:rFonts w:ascii="Arial" w:eastAsia="Times New Roman" w:hAnsi="Arial" w:cs="Arial"/>
          <w:sz w:val="20"/>
          <w:szCs w:val="20"/>
        </w:rPr>
        <w:t>z pomieszczeniami zajmowanymi</w:t>
      </w:r>
      <w:r w:rsidRPr="00694042">
        <w:rPr>
          <w:rFonts w:ascii="Arial" w:eastAsia="Times New Roman" w:hAnsi="Arial" w:cs="Arial"/>
          <w:sz w:val="20"/>
          <w:szCs w:val="20"/>
        </w:rPr>
        <w:t xml:space="preserve"> przez komórki organizacyjne Urzędu Marszałkowskiego Województwa Za</w:t>
      </w:r>
      <w:r w:rsidR="00180C17">
        <w:rPr>
          <w:rFonts w:ascii="Arial" w:eastAsia="Times New Roman" w:hAnsi="Arial" w:cs="Arial"/>
          <w:sz w:val="20"/>
          <w:szCs w:val="20"/>
        </w:rPr>
        <w:t>chodniopomorskiego realizujące</w:t>
      </w:r>
      <w:r w:rsidRPr="00694042">
        <w:rPr>
          <w:rFonts w:ascii="Arial" w:eastAsia="Times New Roman" w:hAnsi="Arial" w:cs="Arial"/>
          <w:sz w:val="20"/>
          <w:szCs w:val="20"/>
        </w:rPr>
        <w:t xml:space="preserve"> RPO WZ 2014-2020:</w:t>
      </w:r>
      <w:r w:rsidR="00CC7B16">
        <w:rPr>
          <w:rFonts w:ascii="Arial" w:eastAsia="Times New Roman" w:hAnsi="Arial" w:cs="Arial"/>
          <w:sz w:val="20"/>
          <w:szCs w:val="20"/>
        </w:rPr>
        <w:t xml:space="preserve"> </w:t>
      </w:r>
      <w:r w:rsidRPr="00694042">
        <w:rPr>
          <w:rFonts w:ascii="Arial" w:eastAsia="Times New Roman" w:hAnsi="Arial" w:cs="Arial"/>
          <w:sz w:val="20"/>
          <w:szCs w:val="20"/>
        </w:rPr>
        <w:t xml:space="preserve">WWRPO, WZS, BC. </w:t>
      </w:r>
      <w:r w:rsidR="00021BD2">
        <w:rPr>
          <w:rFonts w:ascii="Arial" w:eastAsia="Times New Roman" w:hAnsi="Arial" w:cs="Arial"/>
          <w:sz w:val="20"/>
          <w:szCs w:val="20"/>
        </w:rPr>
        <w:br/>
      </w:r>
      <w:r w:rsidRPr="00694042">
        <w:rPr>
          <w:rFonts w:ascii="Arial" w:eastAsia="Times New Roman" w:hAnsi="Arial" w:cs="Arial"/>
          <w:sz w:val="20"/>
          <w:szCs w:val="20"/>
        </w:rPr>
        <w:t xml:space="preserve">W przypadku dwóch z wymienionych komórek organizacyjnych: WWRPO i BC wskaźnik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jest stały i wynosi 100%. Wskaźnik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dla WZS jest zmienny </w:t>
      </w:r>
      <w:r w:rsidR="004D34CA">
        <w:rPr>
          <w:rFonts w:ascii="Arial" w:eastAsia="Times New Roman" w:hAnsi="Arial" w:cs="Arial"/>
          <w:sz w:val="20"/>
          <w:szCs w:val="20"/>
        </w:rPr>
        <w:br/>
      </w:r>
      <w:r w:rsidRPr="00694042">
        <w:rPr>
          <w:rFonts w:ascii="Arial" w:eastAsia="Times New Roman" w:hAnsi="Arial" w:cs="Arial"/>
          <w:sz w:val="20"/>
          <w:szCs w:val="20"/>
        </w:rPr>
        <w:t xml:space="preserve">i ustalany na dany rok budżetowy na podstawie średniej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pracowników Wydziału osiągniętej w poprzednim roku budżetowym</w:t>
      </w:r>
      <w:r w:rsidR="000F67EE">
        <w:rPr>
          <w:rFonts w:ascii="Arial" w:eastAsia="Times New Roman" w:hAnsi="Arial" w:cs="Arial"/>
          <w:sz w:val="20"/>
          <w:szCs w:val="20"/>
        </w:rPr>
        <w:t xml:space="preserve"> (wielkość tę na potrzeby niniejszej metodologii oznaczono symbolem „A%”; w</w:t>
      </w:r>
      <w:r w:rsidRPr="00694042">
        <w:rPr>
          <w:rFonts w:ascii="Arial" w:eastAsia="Times New Roman" w:hAnsi="Arial" w:cs="Arial"/>
          <w:sz w:val="20"/>
          <w:szCs w:val="20"/>
        </w:rPr>
        <w:t xml:space="preserve"> 2019 r. wynosi on</w:t>
      </w:r>
      <w:r w:rsidR="000F67EE">
        <w:rPr>
          <w:rFonts w:ascii="Arial" w:eastAsia="Times New Roman" w:hAnsi="Arial" w:cs="Arial"/>
          <w:sz w:val="20"/>
          <w:szCs w:val="20"/>
        </w:rPr>
        <w:t>a</w:t>
      </w:r>
      <w:r w:rsidRPr="00694042">
        <w:rPr>
          <w:rFonts w:ascii="Arial" w:eastAsia="Times New Roman" w:hAnsi="Arial" w:cs="Arial"/>
          <w:sz w:val="20"/>
          <w:szCs w:val="20"/>
        </w:rPr>
        <w:t xml:space="preserve"> 94,42%</w:t>
      </w:r>
      <w:r w:rsidR="000F67EE">
        <w:rPr>
          <w:rFonts w:ascii="Arial" w:eastAsia="Times New Roman" w:hAnsi="Arial" w:cs="Arial"/>
          <w:sz w:val="20"/>
          <w:szCs w:val="20"/>
        </w:rPr>
        <w:t>)</w:t>
      </w:r>
      <w:r w:rsidRPr="00694042">
        <w:rPr>
          <w:rFonts w:ascii="Arial" w:eastAsia="Times New Roman" w:hAnsi="Arial" w:cs="Arial"/>
          <w:sz w:val="20"/>
          <w:szCs w:val="20"/>
        </w:rPr>
        <w:t>.</w:t>
      </w: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B443A1" w:rsidRDefault="00694042" w:rsidP="009246EA">
      <w:pPr>
        <w:spacing w:line="36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694042">
        <w:rPr>
          <w:rFonts w:ascii="Arial" w:eastAsia="Times New Roman" w:hAnsi="Arial" w:cs="Arial"/>
          <w:i/>
          <w:sz w:val="20"/>
          <w:szCs w:val="20"/>
        </w:rPr>
        <w:lastRenderedPageBreak/>
        <w:t>Tabela 1</w:t>
      </w:r>
    </w:p>
    <w:p w:rsidR="00B443A1" w:rsidRDefault="00694042" w:rsidP="009246E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>Powierzchnia biurowa w m</w:t>
      </w:r>
      <w:r w:rsidRPr="00E3758D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694042">
        <w:rPr>
          <w:rFonts w:ascii="Arial" w:eastAsia="Times New Roman" w:hAnsi="Arial" w:cs="Arial"/>
          <w:sz w:val="20"/>
          <w:szCs w:val="20"/>
        </w:rPr>
        <w:t xml:space="preserve"> przyporządkowana poszczególnym komórkom organizacyjnym</w:t>
      </w:r>
      <w:r w:rsidR="00483C4C"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2005"/>
        <w:gridCol w:w="1895"/>
      </w:tblGrid>
      <w:tr w:rsidR="00B45F9C" w:rsidRPr="00202368" w:rsidTr="009246EA">
        <w:trPr>
          <w:trHeight w:val="748"/>
        </w:trPr>
        <w:tc>
          <w:tcPr>
            <w:tcW w:w="2005" w:type="dxa"/>
            <w:vAlign w:val="center"/>
          </w:tcPr>
          <w:p w:rsidR="00B443A1" w:rsidRPr="00483C4C" w:rsidRDefault="00694042" w:rsidP="00483C4C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83C4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Komórka </w:t>
            </w:r>
            <w:r w:rsidR="00940211" w:rsidRPr="00483C4C">
              <w:rPr>
                <w:rFonts w:ascii="Arial" w:eastAsia="Times New Roman" w:hAnsi="Arial" w:cs="Arial"/>
                <w:i/>
                <w:sz w:val="20"/>
                <w:szCs w:val="20"/>
              </w:rPr>
              <w:br/>
            </w:r>
            <w:r w:rsidRPr="00483C4C">
              <w:rPr>
                <w:rFonts w:ascii="Arial" w:eastAsia="Times New Roman" w:hAnsi="Arial" w:cs="Arial"/>
                <w:i/>
                <w:sz w:val="20"/>
                <w:szCs w:val="20"/>
              </w:rPr>
              <w:t>organizacyjna</w:t>
            </w:r>
          </w:p>
        </w:tc>
        <w:tc>
          <w:tcPr>
            <w:tcW w:w="1895" w:type="dxa"/>
            <w:vAlign w:val="center"/>
          </w:tcPr>
          <w:p w:rsidR="00B443A1" w:rsidRPr="00483C4C" w:rsidRDefault="00694042" w:rsidP="00483C4C">
            <w:pPr>
              <w:ind w:left="-132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83C4C">
              <w:rPr>
                <w:rFonts w:ascii="Arial" w:eastAsia="Times New Roman" w:hAnsi="Arial" w:cs="Arial"/>
                <w:i/>
                <w:sz w:val="20"/>
                <w:szCs w:val="20"/>
              </w:rPr>
              <w:t>Wielkość powierzchni</w:t>
            </w:r>
          </w:p>
          <w:p w:rsidR="00B443A1" w:rsidRPr="00483C4C" w:rsidRDefault="00694042" w:rsidP="00483C4C">
            <w:pPr>
              <w:ind w:left="-132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83C4C">
              <w:rPr>
                <w:rFonts w:ascii="Arial" w:eastAsia="Times New Roman" w:hAnsi="Arial" w:cs="Arial"/>
                <w:i/>
                <w:sz w:val="20"/>
                <w:szCs w:val="20"/>
              </w:rPr>
              <w:t>biurowej</w:t>
            </w:r>
          </w:p>
        </w:tc>
      </w:tr>
      <w:tr w:rsidR="00B45F9C" w:rsidRPr="00202368" w:rsidTr="009246EA">
        <w:trPr>
          <w:trHeight w:val="368"/>
        </w:trPr>
        <w:tc>
          <w:tcPr>
            <w:tcW w:w="2005" w:type="dxa"/>
            <w:vAlign w:val="center"/>
          </w:tcPr>
          <w:p w:rsidR="00B443A1" w:rsidRDefault="00694042" w:rsidP="00483C4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sz w:val="20"/>
                <w:szCs w:val="20"/>
              </w:rPr>
              <w:t>WZS</w:t>
            </w:r>
          </w:p>
        </w:tc>
        <w:tc>
          <w:tcPr>
            <w:tcW w:w="1895" w:type="dxa"/>
            <w:vAlign w:val="center"/>
          </w:tcPr>
          <w:p w:rsidR="00B443A1" w:rsidRDefault="00694042" w:rsidP="00483C4C">
            <w:pPr>
              <w:ind w:left="-13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sz w:val="20"/>
                <w:szCs w:val="20"/>
              </w:rPr>
              <w:t>1.584,49</w:t>
            </w:r>
          </w:p>
        </w:tc>
      </w:tr>
      <w:tr w:rsidR="00B45F9C" w:rsidRPr="00202368" w:rsidTr="009246EA">
        <w:trPr>
          <w:trHeight w:val="368"/>
        </w:trPr>
        <w:tc>
          <w:tcPr>
            <w:tcW w:w="2005" w:type="dxa"/>
            <w:vAlign w:val="center"/>
          </w:tcPr>
          <w:p w:rsidR="00B443A1" w:rsidRDefault="00694042" w:rsidP="00483C4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sz w:val="20"/>
                <w:szCs w:val="20"/>
              </w:rPr>
              <w:t>WWRPO</w:t>
            </w:r>
          </w:p>
        </w:tc>
        <w:tc>
          <w:tcPr>
            <w:tcW w:w="1895" w:type="dxa"/>
            <w:vAlign w:val="center"/>
          </w:tcPr>
          <w:p w:rsidR="00B443A1" w:rsidRDefault="00694042" w:rsidP="00483C4C">
            <w:pPr>
              <w:ind w:left="-13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sz w:val="20"/>
                <w:szCs w:val="20"/>
              </w:rPr>
              <w:t>1.324,02</w:t>
            </w:r>
          </w:p>
        </w:tc>
      </w:tr>
      <w:tr w:rsidR="00B45F9C" w:rsidRPr="00202368" w:rsidTr="009246EA">
        <w:trPr>
          <w:trHeight w:val="368"/>
        </w:trPr>
        <w:tc>
          <w:tcPr>
            <w:tcW w:w="2005" w:type="dxa"/>
            <w:vAlign w:val="center"/>
          </w:tcPr>
          <w:p w:rsidR="00B443A1" w:rsidRDefault="00694042" w:rsidP="00483C4C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sz w:val="20"/>
                <w:szCs w:val="20"/>
              </w:rPr>
              <w:t>BC</w:t>
            </w:r>
          </w:p>
        </w:tc>
        <w:tc>
          <w:tcPr>
            <w:tcW w:w="1895" w:type="dxa"/>
            <w:vAlign w:val="center"/>
          </w:tcPr>
          <w:p w:rsidR="00B443A1" w:rsidRDefault="00694042" w:rsidP="00483C4C">
            <w:pPr>
              <w:ind w:left="-13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sz w:val="20"/>
                <w:szCs w:val="20"/>
              </w:rPr>
              <w:t>69,03</w:t>
            </w:r>
          </w:p>
        </w:tc>
      </w:tr>
      <w:tr w:rsidR="00B45F9C" w:rsidRPr="00202368" w:rsidTr="009246EA">
        <w:trPr>
          <w:trHeight w:val="368"/>
        </w:trPr>
        <w:tc>
          <w:tcPr>
            <w:tcW w:w="2005" w:type="dxa"/>
            <w:vAlign w:val="center"/>
          </w:tcPr>
          <w:p w:rsidR="00B443A1" w:rsidRDefault="00694042" w:rsidP="00483C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895" w:type="dxa"/>
            <w:vAlign w:val="center"/>
          </w:tcPr>
          <w:p w:rsidR="00B443A1" w:rsidRDefault="00694042" w:rsidP="00483C4C">
            <w:pPr>
              <w:ind w:left="-13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4042">
              <w:rPr>
                <w:rFonts w:ascii="Arial" w:eastAsia="Times New Roman" w:hAnsi="Arial" w:cs="Arial"/>
                <w:b/>
                <w:sz w:val="20"/>
                <w:szCs w:val="20"/>
              </w:rPr>
              <w:t>2.977,54</w:t>
            </w:r>
          </w:p>
        </w:tc>
      </w:tr>
    </w:tbl>
    <w:p w:rsidR="00B443A1" w:rsidRDefault="00B443A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83C4C" w:rsidRDefault="00483C4C" w:rsidP="009246E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Roboty budowlane (koszty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>) zestawione przez Wykonawcę</w:t>
      </w:r>
      <w:r>
        <w:rPr>
          <w:rFonts w:ascii="Arial" w:eastAsia="Times New Roman" w:hAnsi="Arial" w:cs="Arial"/>
          <w:sz w:val="20"/>
          <w:szCs w:val="20"/>
        </w:rPr>
        <w:t xml:space="preserve"> będą przeliczane przez poniższy</w:t>
      </w:r>
      <w:r w:rsidRPr="00694042">
        <w:rPr>
          <w:rFonts w:ascii="Arial" w:eastAsia="Times New Roman" w:hAnsi="Arial" w:cs="Arial"/>
          <w:sz w:val="20"/>
          <w:szCs w:val="20"/>
        </w:rPr>
        <w:t xml:space="preserve"> wskaźnik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– [WK1]</w:t>
      </w:r>
      <w:r w:rsidRPr="00694042">
        <w:rPr>
          <w:rFonts w:ascii="Arial" w:eastAsia="Times New Roman" w:hAnsi="Arial" w:cs="Arial"/>
          <w:sz w:val="20"/>
          <w:szCs w:val="20"/>
        </w:rPr>
        <w:t>.</w:t>
      </w:r>
    </w:p>
    <w:p w:rsidR="004D34CA" w:rsidRPr="00073901" w:rsidRDefault="004D34CA" w:rsidP="004D34C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73901">
        <w:rPr>
          <w:rFonts w:ascii="Arial" w:eastAsia="Times New Roman" w:hAnsi="Arial" w:cs="Arial"/>
          <w:sz w:val="20"/>
          <w:szCs w:val="20"/>
        </w:rPr>
        <w:t xml:space="preserve">Koszt </w:t>
      </w:r>
      <w:r>
        <w:rPr>
          <w:rFonts w:ascii="Arial" w:eastAsia="Times New Roman" w:hAnsi="Arial" w:cs="Arial"/>
          <w:sz w:val="20"/>
          <w:szCs w:val="20"/>
        </w:rPr>
        <w:t>robót budowlanych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073901">
        <w:rPr>
          <w:rFonts w:ascii="Arial" w:eastAsia="Times New Roman" w:hAnsi="Arial" w:cs="Arial"/>
          <w:sz w:val="20"/>
          <w:szCs w:val="20"/>
        </w:rPr>
        <w:t xml:space="preserve">[Kwota faktury]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073901">
        <w:rPr>
          <w:rFonts w:ascii="Arial" w:eastAsia="Times New Roman" w:hAnsi="Arial" w:cs="Arial"/>
          <w:sz w:val="20"/>
          <w:szCs w:val="20"/>
        </w:rPr>
        <w:t>[WK1]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</m:t>
        </m:r>
      </m:oMath>
    </w:p>
    <w:p w:rsidR="00483C4C" w:rsidRDefault="00483C4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443A1" w:rsidRDefault="00133507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3C4C">
        <w:rPr>
          <w:rFonts w:ascii="Arial" w:eastAsia="Times New Roman" w:hAnsi="Arial" w:cs="Arial"/>
          <w:b/>
          <w:sz w:val="20"/>
          <w:szCs w:val="20"/>
        </w:rPr>
        <w:t xml:space="preserve">● </w:t>
      </w:r>
      <w:r w:rsidR="00694042" w:rsidRPr="00694042">
        <w:rPr>
          <w:rFonts w:ascii="Arial" w:eastAsia="Times New Roman" w:hAnsi="Arial" w:cs="Arial"/>
          <w:b/>
          <w:i/>
          <w:sz w:val="20"/>
          <w:szCs w:val="20"/>
        </w:rPr>
        <w:t xml:space="preserve">Wskaźnik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kwalifikowalności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694042" w:rsidRPr="00694042">
        <w:rPr>
          <w:rFonts w:ascii="Arial" w:eastAsia="Times New Roman" w:hAnsi="Arial" w:cs="Arial"/>
          <w:b/>
          <w:i/>
          <w:sz w:val="20"/>
          <w:szCs w:val="20"/>
        </w:rPr>
        <w:t>1</w:t>
      </w:r>
    </w:p>
    <w:p w:rsidR="00B443A1" w:rsidRDefault="00DA60D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[</w:t>
      </w:r>
      <w:r w:rsidR="00694042" w:rsidRPr="00694042">
        <w:rPr>
          <w:rFonts w:ascii="Arial" w:eastAsia="Times New Roman" w:hAnsi="Arial" w:cs="Arial"/>
          <w:b/>
          <w:sz w:val="20"/>
          <w:szCs w:val="20"/>
        </w:rPr>
        <w:t>W</w:t>
      </w:r>
      <w:r>
        <w:rPr>
          <w:rFonts w:ascii="Arial" w:eastAsia="Times New Roman" w:hAnsi="Arial" w:cs="Arial"/>
          <w:b/>
          <w:sz w:val="20"/>
          <w:szCs w:val="20"/>
        </w:rPr>
        <w:t>K</w:t>
      </w:r>
      <w:r w:rsidR="00133507">
        <w:rPr>
          <w:rFonts w:ascii="Arial" w:eastAsia="Times New Roman" w:hAnsi="Arial" w:cs="Arial"/>
          <w:b/>
          <w:sz w:val="20"/>
          <w:szCs w:val="20"/>
        </w:rPr>
        <w:t>1</w:t>
      </w:r>
      <w:r w:rsidR="00694042" w:rsidRPr="00694042">
        <w:rPr>
          <w:rFonts w:ascii="Arial" w:eastAsia="Times New Roman" w:hAnsi="Arial" w:cs="Arial"/>
          <w:b/>
          <w:sz w:val="20"/>
          <w:szCs w:val="20"/>
        </w:rPr>
        <w:t>]</w:t>
      </w:r>
      <w:r w:rsidR="00694042" w:rsidRPr="00694042">
        <w:rPr>
          <w:rFonts w:ascii="Arial" w:eastAsia="Times New Roman" w:hAnsi="Arial" w:cs="Arial"/>
          <w:sz w:val="20"/>
          <w:szCs w:val="20"/>
        </w:rPr>
        <w:t xml:space="preserve"> – średni </w:t>
      </w:r>
      <w:r w:rsidR="00133507">
        <w:rPr>
          <w:rFonts w:ascii="Arial" w:eastAsia="Times New Roman" w:hAnsi="Arial" w:cs="Arial"/>
          <w:sz w:val="20"/>
          <w:szCs w:val="20"/>
        </w:rPr>
        <w:t xml:space="preserve">powierzchniowy </w:t>
      </w:r>
      <w:r w:rsidR="00694042" w:rsidRPr="00694042">
        <w:rPr>
          <w:rFonts w:ascii="Arial" w:eastAsia="Times New Roman" w:hAnsi="Arial" w:cs="Arial"/>
          <w:sz w:val="20"/>
          <w:szCs w:val="20"/>
        </w:rPr>
        <w:t xml:space="preserve">wskaźnik </w:t>
      </w:r>
      <w:proofErr w:type="spellStart"/>
      <w:r w:rsidR="00694042" w:rsidRPr="00694042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="00694042" w:rsidRPr="00694042">
        <w:rPr>
          <w:rFonts w:ascii="Arial" w:eastAsia="Times New Roman" w:hAnsi="Arial" w:cs="Arial"/>
          <w:sz w:val="20"/>
          <w:szCs w:val="20"/>
        </w:rPr>
        <w:t xml:space="preserve"> dla robót budowlanych (wskaźnik dla WZS oznaczono jako A%)</w:t>
      </w:r>
    </w:p>
    <w:p w:rsidR="00B443A1" w:rsidRPr="00073901" w:rsidRDefault="00B146A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Arial" w:cs="Arial"/>
                  <w:b/>
                  <w:sz w:val="20"/>
                  <w:szCs w:val="20"/>
                </w:rPr>
              </m:ctrlPr>
            </m:dPr>
            <m:e>
              <m:r>
                <m:rPr>
                  <m:nor/>
                </m:rPr>
                <w:rPr>
                  <w:rFonts w:ascii="Arial" w:eastAsia="Times New Roman" w:hAnsi="Arial" w:cs="Arial"/>
                  <w:b/>
                  <w:sz w:val="20"/>
                  <w:szCs w:val="20"/>
                </w:rPr>
                <m:t>WK1</m:t>
              </m:r>
            </m:e>
          </m:d>
          <m:r>
            <w:rPr>
              <w:rFonts w:ascii="Cambria Math" w:eastAsia="Times New Roman" w:hAnsi="Arial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1.584,49 × A%</m:t>
              </m:r>
              <m:r>
                <w:rPr>
                  <w:rFonts w:ascii="Cambria Math" w:eastAsia="Times New Roman" w:hAnsi="Arial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1.324,02 × 100,00%</m:t>
              </m:r>
              <m:r>
                <w:rPr>
                  <w:rFonts w:ascii="Cambria Math" w:eastAsia="Times New Roman" w:hAnsi="Arial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69,03 × 100,00%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2.977,54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 × 100</m:t>
          </m:r>
        </m:oMath>
      </m:oMathPara>
    </w:p>
    <w:p w:rsidR="00483C4C" w:rsidRDefault="00483C4C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B443A1" w:rsidRDefault="00694042" w:rsidP="008A2C43">
      <w:pPr>
        <w:spacing w:line="360" w:lineRule="auto"/>
        <w:ind w:left="99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694042">
        <w:rPr>
          <w:rFonts w:ascii="Arial" w:eastAsia="Times New Roman" w:hAnsi="Arial" w:cs="Arial"/>
          <w:b/>
          <w:i/>
          <w:sz w:val="20"/>
          <w:szCs w:val="20"/>
        </w:rPr>
        <w:t>Przykład 1</w:t>
      </w:r>
    </w:p>
    <w:p w:rsidR="00B443A1" w:rsidRDefault="00694042" w:rsidP="008A2C43">
      <w:pPr>
        <w:spacing w:line="360" w:lineRule="auto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694042">
        <w:rPr>
          <w:rFonts w:ascii="Arial" w:eastAsia="Times New Roman" w:hAnsi="Arial" w:cs="Arial"/>
          <w:sz w:val="20"/>
          <w:szCs w:val="20"/>
        </w:rPr>
        <w:t xml:space="preserve">Średni wskaźnik </w:t>
      </w:r>
      <w:proofErr w:type="spellStart"/>
      <w:r w:rsidRPr="00694042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Pr="00694042">
        <w:rPr>
          <w:rFonts w:ascii="Arial" w:eastAsia="Times New Roman" w:hAnsi="Arial" w:cs="Arial"/>
          <w:sz w:val="20"/>
          <w:szCs w:val="20"/>
        </w:rPr>
        <w:t xml:space="preserve"> w roku 2019 r. </w:t>
      </w:r>
    </w:p>
    <w:p w:rsidR="00B443A1" w:rsidRPr="00073901" w:rsidRDefault="00B146A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Arial" w:cs="Arial"/>
                  <w:b/>
                  <w:sz w:val="20"/>
                  <w:szCs w:val="20"/>
                </w:rPr>
              </m:ctrlPr>
            </m:dPr>
            <m:e>
              <m:r>
                <m:rPr>
                  <m:nor/>
                </m:rPr>
                <w:rPr>
                  <w:rFonts w:ascii="Arial" w:eastAsia="Times New Roman" w:hAnsi="Arial" w:cs="Arial"/>
                  <w:b/>
                  <w:sz w:val="20"/>
                  <w:szCs w:val="20"/>
                </w:rPr>
                <m:t>WK1</m:t>
              </m:r>
            </m:e>
          </m:d>
          <m:r>
            <m:rPr>
              <m:nor/>
            </m:rPr>
            <w:rPr>
              <w:rFonts w:ascii="Arial" w:eastAsia="Times New Roman" w:hAnsi="Arial" w:cs="Arial"/>
              <w:b/>
              <w:sz w:val="20"/>
              <w:szCs w:val="20"/>
            </w:rPr>
            <m:t xml:space="preserve"> 2019 </m:t>
          </m:r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1.584,49 × 94,42%</m:t>
              </m:r>
              <m:r>
                <w:rPr>
                  <w:rFonts w:ascii="Cambria Math" w:eastAsia="Times New Roman" w:hAnsi="Arial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1.324,02 × 100,00%</m:t>
              </m:r>
              <m:r>
                <w:rPr>
                  <w:rFonts w:ascii="Cambria Math" w:eastAsia="Times New Roman" w:hAnsi="Arial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69,03 × 100,00%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2.977,54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× 100 = </m:t>
          </m:r>
          <m:r>
            <m:rPr>
              <m:nor/>
            </m:rPr>
            <w:rPr>
              <w:rFonts w:ascii="Arial" w:eastAsia="Times New Roman" w:hAnsi="Arial" w:cs="Arial"/>
              <w:b/>
              <w:sz w:val="20"/>
              <w:szCs w:val="20"/>
            </w:rPr>
            <m:t>97,03%</m:t>
          </m:r>
        </m:oMath>
      </m:oMathPara>
    </w:p>
    <w:p w:rsidR="004D34CA" w:rsidRDefault="004D34CA" w:rsidP="004D34CA">
      <w:pPr>
        <w:spacing w:after="0" w:line="360" w:lineRule="auto"/>
        <w:ind w:left="99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Przykład 2</w:t>
      </w:r>
    </w:p>
    <w:p w:rsidR="004D34CA" w:rsidRPr="00073901" w:rsidRDefault="004D34CA" w:rsidP="004D34CA">
      <w:pPr>
        <w:spacing w:line="360" w:lineRule="auto"/>
        <w:ind w:left="993"/>
        <w:rPr>
          <w:rFonts w:ascii="Arial" w:eastAsia="Times New Roman" w:hAnsi="Arial" w:cs="Arial"/>
          <w:sz w:val="20"/>
          <w:szCs w:val="20"/>
        </w:rPr>
      </w:pPr>
      <w:r w:rsidRPr="00073901">
        <w:rPr>
          <w:rFonts w:ascii="Arial" w:eastAsia="Times New Roman" w:hAnsi="Arial" w:cs="Arial"/>
          <w:sz w:val="20"/>
          <w:szCs w:val="20"/>
        </w:rPr>
        <w:t xml:space="preserve">Koszt </w:t>
      </w:r>
      <w:r>
        <w:rPr>
          <w:rFonts w:ascii="Arial" w:eastAsia="Times New Roman" w:hAnsi="Arial" w:cs="Arial"/>
          <w:sz w:val="20"/>
          <w:szCs w:val="20"/>
        </w:rPr>
        <w:t>robót budowlanych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>
        <w:rPr>
          <w:rFonts w:ascii="Arial" w:eastAsia="Times New Roman" w:hAnsi="Arial" w:cs="Arial"/>
          <w:sz w:val="20"/>
          <w:szCs w:val="20"/>
        </w:rPr>
        <w:t>1.000,00</w:t>
      </w:r>
      <w:r w:rsidRPr="00073901">
        <w:rPr>
          <w:rFonts w:ascii="Arial" w:eastAsia="Times New Roman" w:hAnsi="Arial" w:cs="Arial"/>
          <w:sz w:val="20"/>
          <w:szCs w:val="20"/>
        </w:rPr>
        <w:t xml:space="preserve"> zł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073901">
        <w:rPr>
          <w:rFonts w:ascii="Arial" w:eastAsia="Times New Roman" w:hAnsi="Arial" w:cs="Arial"/>
          <w:sz w:val="20"/>
          <w:szCs w:val="20"/>
        </w:rPr>
        <w:t>97,03%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 = </m:t>
        </m:r>
      </m:oMath>
      <w:r>
        <w:rPr>
          <w:rFonts w:ascii="Arial" w:eastAsia="Times New Roman" w:hAnsi="Arial" w:cs="Arial"/>
          <w:sz w:val="20"/>
          <w:szCs w:val="20"/>
        </w:rPr>
        <w:t>970,30</w:t>
      </w:r>
      <w:r w:rsidRPr="00073901">
        <w:rPr>
          <w:rFonts w:ascii="Arial" w:eastAsia="Times New Roman" w:hAnsi="Arial" w:cs="Arial"/>
          <w:sz w:val="20"/>
          <w:szCs w:val="20"/>
        </w:rPr>
        <w:t xml:space="preserve"> zł</w:t>
      </w:r>
    </w:p>
    <w:p w:rsidR="00B443A1" w:rsidRDefault="00B443A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483C4C">
        <w:rPr>
          <w:rFonts w:ascii="Arial" w:eastAsia="Times New Roman" w:hAnsi="Arial" w:cs="Arial"/>
          <w:b/>
        </w:rPr>
        <w:t>Rozliczenie kosztów dokumentacji projektowej</w:t>
      </w:r>
    </w:p>
    <w:p w:rsidR="004D34CA" w:rsidRPr="00483C4C" w:rsidRDefault="004D34CA" w:rsidP="009246EA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55069E">
        <w:rPr>
          <w:rFonts w:ascii="Arial" w:eastAsia="Times New Roman" w:hAnsi="Arial" w:cs="Arial"/>
          <w:sz w:val="20"/>
          <w:szCs w:val="20"/>
        </w:rPr>
        <w:t xml:space="preserve">Koszty </w:t>
      </w:r>
      <w:proofErr w:type="spellStart"/>
      <w:r w:rsidRPr="0055069E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Pr="0055069E">
        <w:rPr>
          <w:rFonts w:ascii="Arial" w:eastAsia="Times New Roman" w:hAnsi="Arial" w:cs="Arial"/>
          <w:sz w:val="20"/>
          <w:szCs w:val="20"/>
        </w:rPr>
        <w:t xml:space="preserve"> związane z wykonaniem dokumentacji projektowej</w:t>
      </w:r>
      <w:r>
        <w:rPr>
          <w:rFonts w:ascii="Arial" w:eastAsia="Times New Roman" w:hAnsi="Arial" w:cs="Arial"/>
          <w:sz w:val="20"/>
          <w:szCs w:val="20"/>
        </w:rPr>
        <w:t xml:space="preserve"> dotyczą realizacji robót budowlanych </w:t>
      </w:r>
      <w:r w:rsidRPr="0055069E">
        <w:rPr>
          <w:rFonts w:ascii="Arial" w:eastAsia="Times New Roman" w:hAnsi="Arial" w:cs="Arial"/>
          <w:sz w:val="20"/>
          <w:szCs w:val="20"/>
        </w:rPr>
        <w:t>w obrębie pomieszczeń zajmowanych przez komórki organizacyjne Urzędu Marszałkowskiego Województwa Zachodniopomorskiego realizujących RPO WZ 2014-2020 (kos</w:t>
      </w:r>
      <w:r>
        <w:rPr>
          <w:rFonts w:ascii="Arial" w:eastAsia="Times New Roman" w:hAnsi="Arial" w:cs="Arial"/>
          <w:sz w:val="20"/>
          <w:szCs w:val="20"/>
        </w:rPr>
        <w:t xml:space="preserve">zty </w:t>
      </w:r>
      <w:proofErr w:type="spellStart"/>
      <w:r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w ramach Pomocy Technicznej), tj. WWRPO, WZS, BC.</w:t>
      </w:r>
    </w:p>
    <w:p w:rsidR="009246EA" w:rsidRPr="00073901" w:rsidRDefault="009246EA" w:rsidP="009246E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73901">
        <w:rPr>
          <w:rFonts w:ascii="Arial" w:eastAsia="Times New Roman" w:hAnsi="Arial" w:cs="Arial"/>
          <w:sz w:val="20"/>
          <w:szCs w:val="20"/>
        </w:rPr>
        <w:lastRenderedPageBreak/>
        <w:t xml:space="preserve"> Koszt dokumentacji projektowej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073901">
        <w:rPr>
          <w:rFonts w:ascii="Arial" w:eastAsia="Times New Roman" w:hAnsi="Arial" w:cs="Arial"/>
          <w:sz w:val="20"/>
          <w:szCs w:val="20"/>
        </w:rPr>
        <w:t xml:space="preserve">[Kwota faktury]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073901">
        <w:rPr>
          <w:rFonts w:ascii="Arial" w:eastAsia="Times New Roman" w:hAnsi="Arial" w:cs="Arial"/>
          <w:sz w:val="20"/>
          <w:szCs w:val="20"/>
        </w:rPr>
        <w:t>[WK1]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</m:t>
        </m:r>
      </m:oMath>
    </w:p>
    <w:p w:rsidR="009246EA" w:rsidRDefault="009246EA" w:rsidP="009246E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9246EA" w:rsidRDefault="004D34CA" w:rsidP="009246EA">
      <w:pPr>
        <w:spacing w:after="0" w:line="360" w:lineRule="auto"/>
        <w:ind w:left="99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Przykład 3</w:t>
      </w:r>
    </w:p>
    <w:p w:rsidR="009246EA" w:rsidRPr="00073901" w:rsidRDefault="009246EA" w:rsidP="009246EA">
      <w:pPr>
        <w:spacing w:line="360" w:lineRule="auto"/>
        <w:ind w:left="993"/>
        <w:rPr>
          <w:rFonts w:ascii="Arial" w:eastAsia="Times New Roman" w:hAnsi="Arial" w:cs="Arial"/>
          <w:sz w:val="20"/>
          <w:szCs w:val="20"/>
        </w:rPr>
      </w:pPr>
      <w:r w:rsidRPr="00073901">
        <w:rPr>
          <w:rFonts w:ascii="Arial" w:eastAsia="Times New Roman" w:hAnsi="Arial" w:cs="Arial"/>
          <w:sz w:val="20"/>
          <w:szCs w:val="20"/>
        </w:rPr>
        <w:t>Koszt dokumentacji projektowej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4D34CA">
        <w:rPr>
          <w:rFonts w:ascii="Arial" w:eastAsia="Times New Roman" w:hAnsi="Arial" w:cs="Arial"/>
          <w:sz w:val="20"/>
          <w:szCs w:val="20"/>
        </w:rPr>
        <w:t>251.292,20</w:t>
      </w:r>
      <w:r w:rsidRPr="00073901">
        <w:rPr>
          <w:rFonts w:ascii="Arial" w:eastAsia="Times New Roman" w:hAnsi="Arial" w:cs="Arial"/>
          <w:sz w:val="20"/>
          <w:szCs w:val="20"/>
        </w:rPr>
        <w:t xml:space="preserve"> zł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073901">
        <w:rPr>
          <w:rFonts w:ascii="Arial" w:eastAsia="Times New Roman" w:hAnsi="Arial" w:cs="Arial"/>
          <w:sz w:val="20"/>
          <w:szCs w:val="20"/>
        </w:rPr>
        <w:t>97,03%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 = </m:t>
        </m:r>
      </m:oMath>
      <w:r w:rsidR="004D34CA">
        <w:rPr>
          <w:rFonts w:ascii="Arial" w:eastAsia="Times New Roman" w:hAnsi="Arial" w:cs="Arial"/>
          <w:sz w:val="20"/>
          <w:szCs w:val="20"/>
        </w:rPr>
        <w:t>243.828,82</w:t>
      </w:r>
      <w:r w:rsidRPr="00073901">
        <w:rPr>
          <w:rFonts w:ascii="Arial" w:eastAsia="Times New Roman" w:hAnsi="Arial" w:cs="Arial"/>
          <w:sz w:val="20"/>
          <w:szCs w:val="20"/>
        </w:rPr>
        <w:t xml:space="preserve"> zł</w:t>
      </w: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483C4C">
        <w:rPr>
          <w:rFonts w:ascii="Arial" w:eastAsia="Times New Roman" w:hAnsi="Arial" w:cs="Arial"/>
          <w:b/>
        </w:rPr>
        <w:t>Rozliczenie kosztów nadzoru autorskiego</w:t>
      </w:r>
    </w:p>
    <w:p w:rsidR="004D34CA" w:rsidRPr="00483C4C" w:rsidRDefault="004D34CA" w:rsidP="009246EA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55069E">
        <w:rPr>
          <w:rFonts w:ascii="Arial" w:eastAsia="Times New Roman" w:hAnsi="Arial" w:cs="Arial"/>
          <w:sz w:val="20"/>
          <w:szCs w:val="20"/>
        </w:rPr>
        <w:t>K</w:t>
      </w:r>
      <w:r>
        <w:rPr>
          <w:rFonts w:ascii="Arial" w:eastAsia="Times New Roman" w:hAnsi="Arial" w:cs="Arial"/>
          <w:sz w:val="20"/>
          <w:szCs w:val="20"/>
        </w:rPr>
        <w:t xml:space="preserve">oszty </w:t>
      </w:r>
      <w:proofErr w:type="spellStart"/>
      <w:r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związane ze sprawowaniem nadzoru autorskiego przy </w:t>
      </w:r>
      <w:r w:rsidRPr="0055069E">
        <w:rPr>
          <w:rFonts w:ascii="Arial" w:eastAsia="Times New Roman" w:hAnsi="Arial" w:cs="Arial"/>
          <w:sz w:val="20"/>
          <w:szCs w:val="20"/>
        </w:rPr>
        <w:t xml:space="preserve">realizacji robót budowlanych w obrębie pomieszczeń zajmowanych przez komórki organizacyjne Urzędu Marszałkowskiego Województwa Zachodniopomorskiego realizujących RPO WZ 2014-2020 (koszty </w:t>
      </w:r>
      <w:proofErr w:type="spellStart"/>
      <w:r w:rsidRPr="0055069E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Pr="0055069E">
        <w:rPr>
          <w:rFonts w:ascii="Arial" w:eastAsia="Times New Roman" w:hAnsi="Arial" w:cs="Arial"/>
          <w:sz w:val="20"/>
          <w:szCs w:val="20"/>
        </w:rPr>
        <w:t xml:space="preserve"> w ramach Pomocy Technicznej), tj. WWRPO, WZS, BC.</w:t>
      </w:r>
    </w:p>
    <w:p w:rsidR="009246EA" w:rsidRPr="00073901" w:rsidRDefault="009246EA" w:rsidP="009246EA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73901">
        <w:rPr>
          <w:rFonts w:ascii="Arial" w:eastAsia="Times New Roman" w:hAnsi="Arial" w:cs="Arial"/>
          <w:sz w:val="20"/>
          <w:szCs w:val="20"/>
        </w:rPr>
        <w:t xml:space="preserve"> Koszt nadzoru autorskiego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073901">
        <w:rPr>
          <w:rFonts w:ascii="Arial" w:eastAsia="Times New Roman" w:hAnsi="Arial" w:cs="Arial"/>
          <w:sz w:val="20"/>
          <w:szCs w:val="20"/>
        </w:rPr>
        <w:t>[Kwota faktury]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073901">
        <w:rPr>
          <w:rFonts w:ascii="Arial" w:eastAsia="Times New Roman" w:hAnsi="Arial" w:cs="Arial"/>
          <w:sz w:val="20"/>
          <w:szCs w:val="20"/>
        </w:rPr>
        <w:t>[WK1]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</m:t>
        </m:r>
      </m:oMath>
    </w:p>
    <w:p w:rsidR="009246EA" w:rsidRDefault="004D34CA" w:rsidP="009246EA">
      <w:pPr>
        <w:spacing w:after="0" w:line="360" w:lineRule="auto"/>
        <w:ind w:left="992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Przykład 4</w:t>
      </w:r>
    </w:p>
    <w:p w:rsidR="009246EA" w:rsidRPr="00073901" w:rsidRDefault="009246EA" w:rsidP="009246EA">
      <w:pPr>
        <w:spacing w:after="0" w:line="360" w:lineRule="auto"/>
        <w:ind w:left="992"/>
        <w:rPr>
          <w:rFonts w:ascii="Arial" w:eastAsia="Times New Roman" w:hAnsi="Arial" w:cs="Arial"/>
          <w:sz w:val="20"/>
          <w:szCs w:val="20"/>
        </w:rPr>
      </w:pPr>
      <w:r w:rsidRPr="00073901">
        <w:rPr>
          <w:rFonts w:ascii="Arial" w:eastAsia="Times New Roman" w:hAnsi="Arial" w:cs="Arial"/>
          <w:sz w:val="20"/>
          <w:szCs w:val="20"/>
        </w:rPr>
        <w:t>Koszt nadzoru autorskiego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4D34CA">
        <w:rPr>
          <w:rFonts w:ascii="Arial" w:eastAsia="Times New Roman" w:hAnsi="Arial" w:cs="Arial"/>
          <w:sz w:val="20"/>
          <w:szCs w:val="20"/>
        </w:rPr>
        <w:t>27.921,35</w:t>
      </w:r>
      <w:r w:rsidRPr="00073901">
        <w:rPr>
          <w:rFonts w:ascii="Arial" w:eastAsia="Times New Roman" w:hAnsi="Arial" w:cs="Arial"/>
          <w:sz w:val="20"/>
          <w:szCs w:val="20"/>
        </w:rPr>
        <w:t xml:space="preserve"> zł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073901">
        <w:rPr>
          <w:rFonts w:ascii="Arial" w:eastAsia="Times New Roman" w:hAnsi="Arial" w:cs="Arial"/>
          <w:sz w:val="20"/>
          <w:szCs w:val="20"/>
        </w:rPr>
        <w:t>97,03%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073901">
        <w:rPr>
          <w:rFonts w:ascii="Arial" w:eastAsia="Times New Roman" w:hAnsi="Arial" w:cs="Arial"/>
          <w:sz w:val="20"/>
          <w:szCs w:val="20"/>
        </w:rPr>
        <w:t>27.092,09 zł</w:t>
      </w:r>
    </w:p>
    <w:p w:rsidR="009246EA" w:rsidRDefault="009246EA" w:rsidP="00133507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33507" w:rsidRDefault="00133507" w:rsidP="00133507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3C4C">
        <w:rPr>
          <w:rFonts w:ascii="Arial" w:eastAsia="Times New Roman" w:hAnsi="Arial" w:cs="Arial"/>
          <w:b/>
          <w:sz w:val="20"/>
          <w:szCs w:val="20"/>
        </w:rPr>
        <w:t xml:space="preserve">● </w:t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Wskaźnik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kwalifikowalności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2</w:t>
      </w:r>
    </w:p>
    <w:p w:rsidR="00133507" w:rsidRDefault="00133507" w:rsidP="00133507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[</w:t>
      </w:r>
      <w:r w:rsidRPr="00143C2E">
        <w:rPr>
          <w:rFonts w:ascii="Arial" w:eastAsia="Times New Roman" w:hAnsi="Arial" w:cs="Arial"/>
          <w:b/>
          <w:sz w:val="20"/>
          <w:szCs w:val="20"/>
        </w:rPr>
        <w:t>W</w:t>
      </w:r>
      <w:r>
        <w:rPr>
          <w:rFonts w:ascii="Arial" w:eastAsia="Times New Roman" w:hAnsi="Arial" w:cs="Arial"/>
          <w:b/>
          <w:sz w:val="20"/>
          <w:szCs w:val="20"/>
        </w:rPr>
        <w:t>K2</w:t>
      </w:r>
      <w:r w:rsidRPr="00143C2E">
        <w:rPr>
          <w:rFonts w:ascii="Arial" w:eastAsia="Times New Roman" w:hAnsi="Arial" w:cs="Arial"/>
          <w:b/>
          <w:sz w:val="20"/>
          <w:szCs w:val="20"/>
        </w:rPr>
        <w:t>]</w:t>
      </w:r>
      <w:r w:rsidRPr="00143C2E">
        <w:rPr>
          <w:rFonts w:ascii="Arial" w:eastAsia="Times New Roman" w:hAnsi="Arial" w:cs="Arial"/>
          <w:sz w:val="20"/>
          <w:szCs w:val="20"/>
        </w:rPr>
        <w:t xml:space="preserve"> 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006A0">
        <w:rPr>
          <w:rFonts w:ascii="Arial" w:eastAsia="Times New Roman" w:hAnsi="Arial" w:cs="Arial"/>
          <w:sz w:val="20"/>
          <w:szCs w:val="20"/>
        </w:rPr>
        <w:t xml:space="preserve">kosztowy </w:t>
      </w:r>
      <w:r w:rsidRPr="00143C2E">
        <w:rPr>
          <w:rFonts w:ascii="Arial" w:eastAsia="Times New Roman" w:hAnsi="Arial" w:cs="Arial"/>
          <w:sz w:val="20"/>
          <w:szCs w:val="20"/>
        </w:rPr>
        <w:t xml:space="preserve">wskaźnik </w:t>
      </w:r>
      <w:proofErr w:type="spellStart"/>
      <w:r w:rsidRPr="00143C2E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Pr="00143C2E">
        <w:rPr>
          <w:rFonts w:ascii="Arial" w:eastAsia="Times New Roman" w:hAnsi="Arial" w:cs="Arial"/>
          <w:sz w:val="20"/>
          <w:szCs w:val="20"/>
        </w:rPr>
        <w:t xml:space="preserve"> dla </w:t>
      </w:r>
      <w:r w:rsidR="00D006A0">
        <w:rPr>
          <w:rFonts w:ascii="Arial" w:eastAsia="Times New Roman" w:hAnsi="Arial" w:cs="Arial"/>
          <w:sz w:val="20"/>
          <w:szCs w:val="20"/>
        </w:rPr>
        <w:t>pozostałych wydatków</w:t>
      </w:r>
    </w:p>
    <w:p w:rsidR="00D006A0" w:rsidRDefault="004002DB" w:rsidP="00D006A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Kosztowy wskaźnik </w:t>
      </w:r>
      <w:proofErr w:type="spellStart"/>
      <w:r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stosowany</w:t>
      </w:r>
      <w:r w:rsidR="00D006A0" w:rsidRPr="00147F4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do kosztów związanych </w:t>
      </w:r>
      <w:r w:rsidR="00D006A0" w:rsidRPr="00147F48">
        <w:rPr>
          <w:rFonts w:ascii="Arial" w:eastAsia="Times New Roman" w:hAnsi="Arial" w:cs="Arial"/>
          <w:sz w:val="20"/>
          <w:szCs w:val="20"/>
        </w:rPr>
        <w:t xml:space="preserve">z </w:t>
      </w:r>
      <w:r>
        <w:rPr>
          <w:rFonts w:ascii="Arial" w:eastAsia="Times New Roman" w:hAnsi="Arial" w:cs="Arial"/>
          <w:sz w:val="20"/>
          <w:szCs w:val="20"/>
        </w:rPr>
        <w:t>obsługą prawną, usługą Inżyniera Kontraktu, doradztwem został wyliczony</w:t>
      </w:r>
      <w:r w:rsidR="00D006A0" w:rsidRPr="00147F48">
        <w:rPr>
          <w:rFonts w:ascii="Arial" w:eastAsia="Times New Roman" w:hAnsi="Arial" w:cs="Arial"/>
          <w:sz w:val="20"/>
          <w:szCs w:val="20"/>
        </w:rPr>
        <w:t xml:space="preserve"> na podstawie udziału wartości robót budowlanych </w:t>
      </w:r>
      <w:r w:rsidR="00D006A0">
        <w:rPr>
          <w:rFonts w:ascii="Arial" w:eastAsia="Times New Roman" w:hAnsi="Arial" w:cs="Arial"/>
          <w:sz w:val="20"/>
          <w:szCs w:val="20"/>
        </w:rPr>
        <w:t xml:space="preserve">(określonej w Załączniku nr 2) </w:t>
      </w:r>
      <w:r w:rsidR="00D006A0" w:rsidRPr="00147F48">
        <w:rPr>
          <w:rFonts w:ascii="Arial" w:eastAsia="Times New Roman" w:hAnsi="Arial" w:cs="Arial"/>
          <w:sz w:val="20"/>
          <w:szCs w:val="20"/>
        </w:rPr>
        <w:t xml:space="preserve">wykonywanych w obrębie pomieszczeń zajmowanych przez komórki organizacyjne Urzędu Marszałkowskiego Województwa Zachodniopomorskiego realizujących RPO WZ 2014-2020 (koszty </w:t>
      </w:r>
      <w:proofErr w:type="spellStart"/>
      <w:r w:rsidR="00D006A0" w:rsidRPr="00147F48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="00D006A0" w:rsidRPr="00147F48">
        <w:rPr>
          <w:rFonts w:ascii="Arial" w:eastAsia="Times New Roman" w:hAnsi="Arial" w:cs="Arial"/>
          <w:sz w:val="20"/>
          <w:szCs w:val="20"/>
        </w:rPr>
        <w:t xml:space="preserve">), w całej wartości robót budowlanych dla Zadania 1, </w:t>
      </w:r>
      <w:r w:rsidR="00041516">
        <w:rPr>
          <w:rFonts w:ascii="Arial" w:eastAsia="Times New Roman" w:hAnsi="Arial" w:cs="Arial"/>
          <w:sz w:val="20"/>
          <w:szCs w:val="20"/>
        </w:rPr>
        <w:br/>
      </w:r>
      <w:r w:rsidR="00D006A0" w:rsidRPr="00147F48">
        <w:rPr>
          <w:rFonts w:ascii="Arial" w:eastAsia="Times New Roman" w:hAnsi="Arial" w:cs="Arial"/>
          <w:sz w:val="20"/>
          <w:szCs w:val="20"/>
        </w:rPr>
        <w:t>wg poniższego schematu</w:t>
      </w:r>
      <w:r w:rsidR="00D006A0">
        <w:rPr>
          <w:rFonts w:ascii="Arial" w:eastAsia="Times New Roman" w:hAnsi="Arial" w:cs="Arial"/>
          <w:sz w:val="20"/>
          <w:szCs w:val="20"/>
        </w:rPr>
        <w:t>:</w:t>
      </w:r>
    </w:p>
    <w:p w:rsidR="00B443A1" w:rsidRPr="00073901" w:rsidRDefault="00B146A0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Arial" w:cs="Arial"/>
                  <w:b/>
                  <w:sz w:val="20"/>
                  <w:szCs w:val="20"/>
                </w:rPr>
              </m:ctrlPr>
            </m:dPr>
            <m:e>
              <m:r>
                <m:rPr>
                  <m:nor/>
                </m:rPr>
                <w:rPr>
                  <w:rFonts w:ascii="Arial" w:eastAsia="Times New Roman" w:hAnsi="Arial" w:cs="Arial"/>
                  <w:b/>
                  <w:sz w:val="20"/>
                  <w:szCs w:val="20"/>
                </w:rPr>
                <m:t>WK2</m:t>
              </m:r>
            </m:e>
          </m:d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koszty kwalif. Zadania 1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całkowity koszt Zadania 1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× 100 = 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13.680.805,64 zł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78.358.899,70 zł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× 100 = </m:t>
          </m:r>
          <m:r>
            <m:rPr>
              <m:nor/>
            </m:rPr>
            <w:rPr>
              <w:rFonts w:ascii="Arial" w:eastAsia="Times New Roman" w:hAnsi="Arial" w:cs="Arial"/>
              <w:b/>
              <w:sz w:val="20"/>
              <w:szCs w:val="20"/>
            </w:rPr>
            <m:t>17,46%</m:t>
          </m:r>
        </m:oMath>
      </m:oMathPara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3C4C">
        <w:rPr>
          <w:rFonts w:ascii="Arial" w:eastAsia="Times New Roman" w:hAnsi="Arial" w:cs="Arial"/>
          <w:b/>
          <w:sz w:val="20"/>
          <w:szCs w:val="20"/>
        </w:rPr>
        <w:t xml:space="preserve">● </w:t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Wskaźnik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kwalifikowalności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3</w:t>
      </w:r>
    </w:p>
    <w:p w:rsidR="009246EA" w:rsidRDefault="009246EA" w:rsidP="009246E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[</w:t>
      </w:r>
      <w:r w:rsidRPr="00143C2E">
        <w:rPr>
          <w:rFonts w:ascii="Arial" w:eastAsia="Times New Roman" w:hAnsi="Arial" w:cs="Arial"/>
          <w:b/>
          <w:sz w:val="20"/>
          <w:szCs w:val="20"/>
        </w:rPr>
        <w:t>W</w:t>
      </w:r>
      <w:r>
        <w:rPr>
          <w:rFonts w:ascii="Arial" w:eastAsia="Times New Roman" w:hAnsi="Arial" w:cs="Arial"/>
          <w:b/>
          <w:sz w:val="20"/>
          <w:szCs w:val="20"/>
        </w:rPr>
        <w:t>K3</w:t>
      </w:r>
      <w:r w:rsidRPr="00143C2E">
        <w:rPr>
          <w:rFonts w:ascii="Arial" w:eastAsia="Times New Roman" w:hAnsi="Arial" w:cs="Arial"/>
          <w:b/>
          <w:sz w:val="20"/>
          <w:szCs w:val="20"/>
        </w:rPr>
        <w:t>]</w:t>
      </w:r>
      <w:r w:rsidRPr="00143C2E">
        <w:rPr>
          <w:rFonts w:ascii="Arial" w:eastAsia="Times New Roman" w:hAnsi="Arial" w:cs="Arial"/>
          <w:sz w:val="20"/>
          <w:szCs w:val="20"/>
        </w:rPr>
        <w:t xml:space="preserve"> 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143C2E">
        <w:rPr>
          <w:rFonts w:ascii="Arial" w:eastAsia="Times New Roman" w:hAnsi="Arial" w:cs="Arial"/>
          <w:sz w:val="20"/>
          <w:szCs w:val="20"/>
        </w:rPr>
        <w:t xml:space="preserve">wskaźnik </w:t>
      </w:r>
      <w:proofErr w:type="spellStart"/>
      <w:r w:rsidRPr="00143C2E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Pr="00143C2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kosztów dla Zadania 1</w:t>
      </w:r>
    </w:p>
    <w:p w:rsidR="009246EA" w:rsidRPr="00103C88" w:rsidRDefault="00B146A0" w:rsidP="009246E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Arial" w:cs="Arial"/>
                  <w:b/>
                  <w:sz w:val="20"/>
                  <w:szCs w:val="20"/>
                </w:rPr>
              </m:ctrlPr>
            </m:dPr>
            <m:e>
              <m:r>
                <m:rPr>
                  <m:nor/>
                </m:rPr>
                <w:rPr>
                  <w:rFonts w:ascii="Arial" w:eastAsia="Times New Roman" w:hAnsi="Arial" w:cs="Arial"/>
                  <w:b/>
                  <w:sz w:val="20"/>
                  <w:szCs w:val="20"/>
                </w:rPr>
                <m:t>WK3</m:t>
              </m:r>
            </m:e>
          </m:d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= 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koszt rob. budowlanych Zadania 1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całkowity koszt rob. budowlanych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× 100 = 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78.358.899,70 zł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195.897.249,25 zł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× 100 = </m:t>
          </m:r>
          <m:r>
            <m:rPr>
              <m:nor/>
            </m:rPr>
            <w:rPr>
              <w:rFonts w:ascii="Arial" w:eastAsia="Times New Roman" w:hAnsi="Arial" w:cs="Arial"/>
              <w:b/>
              <w:sz w:val="20"/>
              <w:szCs w:val="20"/>
            </w:rPr>
            <m:t>40,00%</m:t>
          </m:r>
        </m:oMath>
      </m:oMathPara>
    </w:p>
    <w:p w:rsidR="00483C4C" w:rsidRDefault="00483C4C" w:rsidP="004002DB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4D34CA" w:rsidRDefault="004D34CA" w:rsidP="004002DB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FF54E0" w:rsidRPr="00483C4C" w:rsidRDefault="00FF54E0" w:rsidP="00FF54E0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483C4C">
        <w:rPr>
          <w:rFonts w:ascii="Arial" w:eastAsia="Times New Roman" w:hAnsi="Arial" w:cs="Arial"/>
          <w:b/>
        </w:rPr>
        <w:lastRenderedPageBreak/>
        <w:t xml:space="preserve">Rozliczenie kosztów </w:t>
      </w:r>
      <w:r w:rsidR="00694042" w:rsidRPr="00483C4C">
        <w:rPr>
          <w:rFonts w:ascii="Arial" w:eastAsia="Times New Roman" w:hAnsi="Arial" w:cs="Arial"/>
          <w:b/>
        </w:rPr>
        <w:t>obsługi prawnej</w:t>
      </w:r>
    </w:p>
    <w:p w:rsidR="00FF54E0" w:rsidRDefault="00694042" w:rsidP="00FF54E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77124">
        <w:rPr>
          <w:rFonts w:ascii="Arial" w:eastAsia="Times New Roman" w:hAnsi="Arial" w:cs="Arial"/>
          <w:sz w:val="20"/>
          <w:szCs w:val="20"/>
        </w:rPr>
        <w:t xml:space="preserve">Obsługa prawna </w:t>
      </w:r>
      <w:r w:rsidR="00FF54E0" w:rsidRPr="00B77124">
        <w:rPr>
          <w:rFonts w:ascii="Arial" w:eastAsia="Times New Roman" w:hAnsi="Arial" w:cs="Arial"/>
          <w:sz w:val="20"/>
          <w:szCs w:val="20"/>
        </w:rPr>
        <w:t>realizowana jest na podstawie</w:t>
      </w:r>
      <w:r w:rsidR="00FF54E0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694042">
        <w:rPr>
          <w:rFonts w:ascii="Arial" w:eastAsia="Times New Roman" w:hAnsi="Arial" w:cs="Arial"/>
          <w:sz w:val="20"/>
          <w:szCs w:val="20"/>
        </w:rPr>
        <w:t>umowy</w:t>
      </w:r>
      <w:r w:rsidR="00BA3A33">
        <w:rPr>
          <w:rFonts w:ascii="Arial" w:eastAsia="Times New Roman" w:hAnsi="Arial" w:cs="Arial"/>
          <w:sz w:val="20"/>
          <w:szCs w:val="20"/>
        </w:rPr>
        <w:t xml:space="preserve"> n</w:t>
      </w:r>
      <w:r w:rsidR="00FF54E0">
        <w:rPr>
          <w:rFonts w:ascii="Arial" w:eastAsia="Times New Roman" w:hAnsi="Arial" w:cs="Arial"/>
          <w:sz w:val="20"/>
          <w:szCs w:val="20"/>
        </w:rPr>
        <w:t>r WA/33/7/2016 i kolejnej</w:t>
      </w:r>
      <w:r w:rsidRPr="00694042">
        <w:rPr>
          <w:rFonts w:ascii="Arial" w:eastAsia="Times New Roman" w:hAnsi="Arial" w:cs="Arial"/>
          <w:sz w:val="20"/>
          <w:szCs w:val="20"/>
        </w:rPr>
        <w:t xml:space="preserve"> po jej </w:t>
      </w:r>
      <w:r w:rsidR="00FF54E0">
        <w:rPr>
          <w:rFonts w:ascii="Arial" w:eastAsia="Times New Roman" w:hAnsi="Arial" w:cs="Arial"/>
          <w:sz w:val="20"/>
          <w:szCs w:val="20"/>
        </w:rPr>
        <w:t>wygaśnięciu. O</w:t>
      </w:r>
      <w:r w:rsidR="00FF54E0" w:rsidRPr="00147F48">
        <w:rPr>
          <w:rFonts w:ascii="Arial" w:eastAsia="Times New Roman" w:hAnsi="Arial" w:cs="Arial"/>
          <w:sz w:val="20"/>
          <w:szCs w:val="20"/>
        </w:rPr>
        <w:t>bsługa prawna świadcz</w:t>
      </w:r>
      <w:r w:rsidR="00FF54E0">
        <w:rPr>
          <w:rFonts w:ascii="Arial" w:eastAsia="Times New Roman" w:hAnsi="Arial" w:cs="Arial"/>
          <w:sz w:val="20"/>
          <w:szCs w:val="20"/>
        </w:rPr>
        <w:t xml:space="preserve">ona jest dla całej inwestycji (Zadanie 1 i Zadanie 2) i faktury są wystawiane </w:t>
      </w:r>
      <w:r w:rsidR="00021BD2">
        <w:rPr>
          <w:rFonts w:ascii="Arial" w:eastAsia="Times New Roman" w:hAnsi="Arial" w:cs="Arial"/>
          <w:sz w:val="20"/>
          <w:szCs w:val="20"/>
        </w:rPr>
        <w:br/>
      </w:r>
      <w:r w:rsidR="00FF54E0">
        <w:rPr>
          <w:rFonts w:ascii="Arial" w:eastAsia="Times New Roman" w:hAnsi="Arial" w:cs="Arial"/>
          <w:sz w:val="20"/>
          <w:szCs w:val="20"/>
        </w:rPr>
        <w:t xml:space="preserve">w cyklu miesięcznym. Do rozliczenia potrzebne </w:t>
      </w:r>
      <w:r w:rsidR="00471A5A">
        <w:rPr>
          <w:rFonts w:ascii="Arial" w:eastAsia="Times New Roman" w:hAnsi="Arial" w:cs="Arial"/>
          <w:sz w:val="20"/>
          <w:szCs w:val="20"/>
        </w:rPr>
        <w:t xml:space="preserve">jest zatem wyliczenie wskaźnika pozwalającego na określenie </w:t>
      </w:r>
      <w:r w:rsidR="00E447C6">
        <w:rPr>
          <w:rFonts w:ascii="Arial" w:eastAsia="Times New Roman" w:hAnsi="Arial" w:cs="Arial"/>
          <w:sz w:val="20"/>
          <w:szCs w:val="20"/>
        </w:rPr>
        <w:t xml:space="preserve">wysokości </w:t>
      </w:r>
      <w:r w:rsidR="00471A5A">
        <w:rPr>
          <w:rFonts w:ascii="Arial" w:eastAsia="Times New Roman" w:hAnsi="Arial" w:cs="Arial"/>
          <w:sz w:val="20"/>
          <w:szCs w:val="20"/>
        </w:rPr>
        <w:t xml:space="preserve">kosztów </w:t>
      </w:r>
      <w:proofErr w:type="spellStart"/>
      <w:r w:rsidR="00471A5A">
        <w:rPr>
          <w:rFonts w:ascii="Arial" w:eastAsia="Times New Roman" w:hAnsi="Arial" w:cs="Arial"/>
          <w:sz w:val="20"/>
          <w:szCs w:val="20"/>
        </w:rPr>
        <w:t>kwalifikowalnych</w:t>
      </w:r>
      <w:proofErr w:type="spellEnd"/>
      <w:r w:rsidR="00471A5A">
        <w:rPr>
          <w:rFonts w:ascii="Arial" w:eastAsia="Times New Roman" w:hAnsi="Arial" w:cs="Arial"/>
          <w:sz w:val="20"/>
          <w:szCs w:val="20"/>
        </w:rPr>
        <w:t xml:space="preserve"> dla </w:t>
      </w:r>
      <w:r w:rsidR="00E447C6">
        <w:rPr>
          <w:rFonts w:ascii="Arial" w:eastAsia="Times New Roman" w:hAnsi="Arial" w:cs="Arial"/>
          <w:sz w:val="20"/>
          <w:szCs w:val="20"/>
        </w:rPr>
        <w:t>Zadania 1.</w:t>
      </w:r>
    </w:p>
    <w:p w:rsidR="00E447C6" w:rsidRPr="00E447C6" w:rsidRDefault="00E447C6" w:rsidP="00E447C6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</w:t>
      </w:r>
      <w:r w:rsidRPr="00147F48">
        <w:rPr>
          <w:rFonts w:ascii="Arial" w:eastAsia="Times New Roman" w:hAnsi="Arial" w:cs="Arial"/>
          <w:sz w:val="20"/>
          <w:szCs w:val="20"/>
        </w:rPr>
        <w:t xml:space="preserve">oszty </w:t>
      </w:r>
      <w:proofErr w:type="spellStart"/>
      <w:r w:rsidRPr="00147F48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Pr="00147F4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zatem </w:t>
      </w:r>
      <w:r w:rsidRPr="00147F48">
        <w:rPr>
          <w:rFonts w:ascii="Arial" w:eastAsia="Times New Roman" w:hAnsi="Arial" w:cs="Arial"/>
          <w:sz w:val="20"/>
          <w:szCs w:val="20"/>
        </w:rPr>
        <w:t xml:space="preserve">związane z obsługą prawną wyliczane są wg schematu: </w:t>
      </w:r>
    </w:p>
    <w:p w:rsidR="00FF54E0" w:rsidRPr="00103C88" w:rsidRDefault="00FF54E0" w:rsidP="00FF54E0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 xml:space="preserve">Koszt </w:t>
      </w:r>
      <w:r w:rsidR="00E447C6" w:rsidRPr="00103C88">
        <w:rPr>
          <w:rFonts w:ascii="Arial" w:eastAsia="Times New Roman" w:hAnsi="Arial" w:cs="Arial"/>
          <w:sz w:val="20"/>
          <w:szCs w:val="20"/>
        </w:rPr>
        <w:t>obsługi prawnej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103C88">
        <w:rPr>
          <w:rFonts w:ascii="Arial" w:eastAsia="Times New Roman" w:hAnsi="Arial" w:cs="Arial"/>
          <w:sz w:val="20"/>
          <w:szCs w:val="20"/>
        </w:rPr>
        <w:t>[Kwota faktury]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>[WK1]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>[WK2]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="00E447C6" w:rsidRPr="00103C88">
        <w:rPr>
          <w:rFonts w:ascii="Arial" w:eastAsia="Times New Roman" w:hAnsi="Arial" w:cs="Arial"/>
          <w:sz w:val="20"/>
          <w:szCs w:val="20"/>
        </w:rPr>
        <w:t>[WK3]</w:t>
      </w:r>
      <w:r w:rsidRPr="00103C88">
        <w:rPr>
          <w:rFonts w:ascii="Arial" w:eastAsia="Times New Roman" w:hAnsi="Arial" w:cs="Arial"/>
          <w:sz w:val="20"/>
          <w:szCs w:val="20"/>
        </w:rPr>
        <w:t xml:space="preserve"> </w:t>
      </w:r>
    </w:p>
    <w:p w:rsidR="00FF54E0" w:rsidRDefault="004D34CA" w:rsidP="008A2C43">
      <w:pPr>
        <w:spacing w:after="0" w:line="360" w:lineRule="auto"/>
        <w:ind w:left="992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Przykład 5</w:t>
      </w:r>
    </w:p>
    <w:p w:rsidR="00FF54E0" w:rsidRPr="00103C88" w:rsidRDefault="00FF54E0" w:rsidP="008A2C43">
      <w:pPr>
        <w:spacing w:after="0" w:line="360" w:lineRule="auto"/>
        <w:ind w:left="992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 xml:space="preserve">Koszt </w:t>
      </w:r>
      <w:r w:rsidR="00E447C6" w:rsidRPr="00103C88">
        <w:rPr>
          <w:rFonts w:ascii="Arial" w:eastAsia="Times New Roman" w:hAnsi="Arial" w:cs="Arial"/>
          <w:sz w:val="20"/>
          <w:szCs w:val="20"/>
        </w:rPr>
        <w:t>obsługi prawnej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E447C6" w:rsidRPr="00103C88">
        <w:rPr>
          <w:rFonts w:ascii="Arial" w:eastAsia="Times New Roman" w:hAnsi="Arial" w:cs="Arial"/>
          <w:sz w:val="20"/>
          <w:szCs w:val="20"/>
        </w:rPr>
        <w:t>1.000,00</w:t>
      </w:r>
      <w:r w:rsidRPr="00103C88">
        <w:rPr>
          <w:rFonts w:ascii="Arial" w:eastAsia="Times New Roman" w:hAnsi="Arial" w:cs="Arial"/>
          <w:sz w:val="20"/>
          <w:szCs w:val="20"/>
        </w:rPr>
        <w:t xml:space="preserve"> zł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="00BA3A33" w:rsidRPr="00103C88">
        <w:rPr>
          <w:rFonts w:ascii="Arial" w:eastAsia="Times New Roman" w:hAnsi="Arial" w:cs="Arial"/>
          <w:sz w:val="20"/>
          <w:szCs w:val="20"/>
        </w:rPr>
        <w:t>97,03%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="00073901" w:rsidRPr="00103C88">
        <w:rPr>
          <w:rFonts w:ascii="Arial" w:eastAsia="Times New Roman" w:hAnsi="Arial" w:cs="Arial"/>
          <w:sz w:val="20"/>
          <w:szCs w:val="20"/>
        </w:rPr>
        <w:t>17,46%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="00BA3A33" w:rsidRPr="00103C88">
        <w:rPr>
          <w:rFonts w:ascii="Arial" w:eastAsia="Times New Roman" w:hAnsi="Arial" w:cs="Arial"/>
          <w:sz w:val="20"/>
          <w:szCs w:val="20"/>
        </w:rPr>
        <w:t>40,00%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BA3A33" w:rsidRPr="00103C88">
        <w:rPr>
          <w:rFonts w:ascii="Arial" w:eastAsia="Times New Roman" w:hAnsi="Arial" w:cs="Arial"/>
          <w:sz w:val="20"/>
          <w:szCs w:val="20"/>
        </w:rPr>
        <w:t>67,77</w:t>
      </w:r>
      <w:r w:rsidR="00784C4F" w:rsidRPr="00103C88">
        <w:rPr>
          <w:rFonts w:ascii="Arial" w:eastAsia="Times New Roman" w:hAnsi="Arial" w:cs="Arial"/>
          <w:sz w:val="20"/>
          <w:szCs w:val="20"/>
        </w:rPr>
        <w:t xml:space="preserve"> zł</w:t>
      </w:r>
    </w:p>
    <w:p w:rsidR="00B443A1" w:rsidRDefault="00B443A1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:rsidR="00BA3A33" w:rsidRPr="00483C4C" w:rsidRDefault="00BA3A33" w:rsidP="00BA3A33">
      <w:pPr>
        <w:spacing w:line="360" w:lineRule="auto"/>
        <w:jc w:val="both"/>
        <w:rPr>
          <w:rFonts w:ascii="Arial" w:eastAsia="Times New Roman" w:hAnsi="Arial" w:cs="Arial"/>
          <w:b/>
        </w:rPr>
      </w:pPr>
      <w:r w:rsidRPr="00483C4C">
        <w:rPr>
          <w:rFonts w:ascii="Arial" w:eastAsia="Times New Roman" w:hAnsi="Arial" w:cs="Arial"/>
          <w:b/>
        </w:rPr>
        <w:t xml:space="preserve">Rozliczenie kosztów </w:t>
      </w:r>
      <w:r w:rsidR="00694042" w:rsidRPr="00483C4C">
        <w:rPr>
          <w:rFonts w:ascii="Arial" w:eastAsia="Times New Roman" w:hAnsi="Arial" w:cs="Arial"/>
          <w:b/>
        </w:rPr>
        <w:t>usługi Inżyniera Kontraktu</w:t>
      </w:r>
    </w:p>
    <w:p w:rsidR="00CF4978" w:rsidRPr="00CF4978" w:rsidRDefault="00BA3A33" w:rsidP="00CF4978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Usługa</w:t>
      </w:r>
      <w:r w:rsidRPr="00147F48">
        <w:rPr>
          <w:rFonts w:ascii="Arial" w:eastAsia="Times New Roman" w:hAnsi="Arial" w:cs="Arial"/>
          <w:sz w:val="20"/>
          <w:szCs w:val="20"/>
        </w:rPr>
        <w:t xml:space="preserve"> Inżyniera </w:t>
      </w:r>
      <w:r w:rsidRPr="00483C4C">
        <w:rPr>
          <w:rFonts w:ascii="Arial" w:eastAsia="Times New Roman" w:hAnsi="Arial" w:cs="Arial"/>
          <w:sz w:val="20"/>
          <w:szCs w:val="20"/>
        </w:rPr>
        <w:t>Kontraktu realizowana jest na podstawie umowy</w:t>
      </w:r>
      <w:r>
        <w:rPr>
          <w:rFonts w:ascii="Arial" w:eastAsia="Times New Roman" w:hAnsi="Arial" w:cs="Arial"/>
          <w:sz w:val="20"/>
          <w:szCs w:val="20"/>
        </w:rPr>
        <w:t xml:space="preserve"> nr </w:t>
      </w:r>
      <w:r w:rsidR="00694042" w:rsidRPr="00694042">
        <w:rPr>
          <w:rFonts w:ascii="Arial" w:eastAsia="Times New Roman" w:hAnsi="Arial" w:cs="Arial"/>
          <w:sz w:val="20"/>
          <w:szCs w:val="20"/>
        </w:rPr>
        <w:t>31/</w:t>
      </w:r>
      <w:proofErr w:type="spellStart"/>
      <w:r w:rsidR="00694042" w:rsidRPr="00694042">
        <w:rPr>
          <w:rFonts w:ascii="Arial" w:eastAsia="Times New Roman" w:hAnsi="Arial" w:cs="Arial"/>
          <w:sz w:val="20"/>
          <w:szCs w:val="20"/>
        </w:rPr>
        <w:t>WIiN</w:t>
      </w:r>
      <w:proofErr w:type="spellEnd"/>
      <w:r w:rsidR="00694042" w:rsidRPr="00694042">
        <w:rPr>
          <w:rFonts w:ascii="Arial" w:eastAsia="Times New Roman" w:hAnsi="Arial" w:cs="Arial"/>
          <w:sz w:val="20"/>
          <w:szCs w:val="20"/>
        </w:rPr>
        <w:t>/2016</w:t>
      </w:r>
      <w:r w:rsidR="00CF4978">
        <w:rPr>
          <w:rFonts w:ascii="Arial" w:eastAsia="Times New Roman" w:hAnsi="Arial" w:cs="Arial"/>
          <w:sz w:val="20"/>
          <w:szCs w:val="20"/>
        </w:rPr>
        <w:t>, zgodnie z którą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F4978">
        <w:rPr>
          <w:rFonts w:ascii="Arial" w:eastAsia="Times New Roman" w:hAnsi="Arial" w:cs="Arial"/>
          <w:sz w:val="20"/>
          <w:szCs w:val="20"/>
        </w:rPr>
        <w:t>koszty tej usługi są przyporządkowane odrębnie dla Zadania 1 i dla Zadania 2. K</w:t>
      </w:r>
      <w:r w:rsidR="00CF4978" w:rsidRPr="00147F48">
        <w:rPr>
          <w:rFonts w:ascii="Arial" w:eastAsia="Times New Roman" w:hAnsi="Arial" w:cs="Arial"/>
          <w:sz w:val="20"/>
          <w:szCs w:val="20"/>
        </w:rPr>
        <w:t xml:space="preserve">oszty </w:t>
      </w:r>
      <w:proofErr w:type="spellStart"/>
      <w:r w:rsidR="00CF4978" w:rsidRPr="00147F48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="00CF4978" w:rsidRPr="00147F48">
        <w:rPr>
          <w:rFonts w:ascii="Arial" w:eastAsia="Times New Roman" w:hAnsi="Arial" w:cs="Arial"/>
          <w:sz w:val="20"/>
          <w:szCs w:val="20"/>
        </w:rPr>
        <w:t xml:space="preserve"> związane z </w:t>
      </w:r>
      <w:r w:rsidR="00CF4978">
        <w:rPr>
          <w:rFonts w:ascii="Arial" w:eastAsia="Times New Roman" w:hAnsi="Arial" w:cs="Arial"/>
          <w:sz w:val="20"/>
          <w:szCs w:val="20"/>
        </w:rPr>
        <w:t>usługą</w:t>
      </w:r>
      <w:r w:rsidR="00CF4978" w:rsidRPr="00147F48">
        <w:rPr>
          <w:rFonts w:ascii="Arial" w:eastAsia="Times New Roman" w:hAnsi="Arial" w:cs="Arial"/>
          <w:sz w:val="20"/>
          <w:szCs w:val="20"/>
        </w:rPr>
        <w:t xml:space="preserve"> Inżyniera Kontraktu wyliczane są </w:t>
      </w:r>
      <w:r w:rsidR="00CF4978">
        <w:rPr>
          <w:rFonts w:ascii="Arial" w:eastAsia="Times New Roman" w:hAnsi="Arial" w:cs="Arial"/>
          <w:sz w:val="20"/>
          <w:szCs w:val="20"/>
        </w:rPr>
        <w:t xml:space="preserve">więc </w:t>
      </w:r>
      <w:r w:rsidR="00CF4978" w:rsidRPr="00147F48">
        <w:rPr>
          <w:rFonts w:ascii="Arial" w:eastAsia="Times New Roman" w:hAnsi="Arial" w:cs="Arial"/>
          <w:sz w:val="20"/>
          <w:szCs w:val="20"/>
        </w:rPr>
        <w:t xml:space="preserve">wg schematu: </w:t>
      </w:r>
    </w:p>
    <w:p w:rsidR="00CF4978" w:rsidRPr="00103C88" w:rsidRDefault="00CF4978" w:rsidP="00CF4978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>Koszt usługi Inżyniera Kontraktu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103C88">
        <w:rPr>
          <w:rFonts w:ascii="Arial" w:eastAsia="Times New Roman" w:hAnsi="Arial" w:cs="Arial"/>
          <w:sz w:val="20"/>
          <w:szCs w:val="20"/>
        </w:rPr>
        <w:t>[Kwota faktury]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>[WK1]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>[WK2]</w:t>
      </w:r>
    </w:p>
    <w:p w:rsidR="00CF4978" w:rsidRDefault="004D34CA" w:rsidP="008A2C43">
      <w:pPr>
        <w:spacing w:after="0" w:line="360" w:lineRule="auto"/>
        <w:ind w:left="992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Przykład 6</w:t>
      </w:r>
    </w:p>
    <w:p w:rsidR="00CF4978" w:rsidRPr="00103C88" w:rsidRDefault="00CF4978" w:rsidP="008A2C43">
      <w:pPr>
        <w:spacing w:after="0" w:line="360" w:lineRule="auto"/>
        <w:ind w:left="992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 xml:space="preserve">Koszt </w:t>
      </w:r>
      <w:r w:rsidR="003D4BA2" w:rsidRPr="00103C88">
        <w:rPr>
          <w:rFonts w:ascii="Arial" w:eastAsia="Times New Roman" w:hAnsi="Arial" w:cs="Arial"/>
          <w:sz w:val="20"/>
          <w:szCs w:val="20"/>
        </w:rPr>
        <w:t>usługi Inżyniera Kontraktu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3D4BA2" w:rsidRPr="00103C88">
        <w:rPr>
          <w:rFonts w:ascii="Arial" w:eastAsia="Times New Roman" w:hAnsi="Arial" w:cs="Arial"/>
          <w:sz w:val="20"/>
          <w:szCs w:val="20"/>
        </w:rPr>
        <w:t>30.742,97 zł</w:t>
      </w:r>
      <w:r w:rsidRPr="00103C88">
        <w:rPr>
          <w:rFonts w:ascii="Arial" w:eastAsia="Times New Roman" w:hAnsi="Arial" w:cs="Arial"/>
          <w:sz w:val="20"/>
          <w:szCs w:val="20"/>
        </w:rPr>
        <w:t xml:space="preserve">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 97,03%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 17,46%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3D4BA2" w:rsidRPr="00103C88">
        <w:rPr>
          <w:rFonts w:ascii="Arial" w:eastAsia="Times New Roman" w:hAnsi="Arial" w:cs="Arial"/>
          <w:sz w:val="20"/>
          <w:szCs w:val="20"/>
        </w:rPr>
        <w:t>5.208,30 zł</w:t>
      </w:r>
    </w:p>
    <w:p w:rsidR="00B443A1" w:rsidRDefault="00B443A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D4BA2" w:rsidRPr="00483C4C" w:rsidRDefault="003D4BA2" w:rsidP="003D4BA2">
      <w:pPr>
        <w:spacing w:line="360" w:lineRule="auto"/>
        <w:jc w:val="both"/>
        <w:rPr>
          <w:rFonts w:ascii="Arial" w:eastAsia="Times New Roman" w:hAnsi="Arial" w:cs="Arial"/>
          <w:b/>
        </w:rPr>
      </w:pPr>
      <w:bookmarkStart w:id="0" w:name="_GoBack"/>
      <w:bookmarkEnd w:id="0"/>
      <w:r w:rsidRPr="00483C4C">
        <w:rPr>
          <w:rFonts w:ascii="Arial" w:eastAsia="Times New Roman" w:hAnsi="Arial" w:cs="Arial"/>
          <w:b/>
        </w:rPr>
        <w:t>Rozliczenie kosztów usługi doradztwa i certyfikacji</w:t>
      </w:r>
    </w:p>
    <w:p w:rsidR="00E3758D" w:rsidRDefault="003D4BA2" w:rsidP="003D4BA2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Usługa</w:t>
      </w:r>
      <w:r w:rsidRPr="00147F48">
        <w:rPr>
          <w:rFonts w:ascii="Arial" w:eastAsia="Times New Roman" w:hAnsi="Arial" w:cs="Arial"/>
          <w:sz w:val="20"/>
          <w:szCs w:val="20"/>
        </w:rPr>
        <w:t xml:space="preserve"> doradztwa i przeprowadzenie certyfikacji w standardzie budownictwa zrównoważonego</w:t>
      </w:r>
      <w:r w:rsidRPr="00FF54E0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CC7B16">
        <w:rPr>
          <w:rFonts w:ascii="Arial" w:eastAsia="Times New Roman" w:hAnsi="Arial" w:cs="Arial"/>
          <w:sz w:val="20"/>
          <w:szCs w:val="20"/>
        </w:rPr>
        <w:t xml:space="preserve">realizowana jest na podstawie </w:t>
      </w:r>
      <w:r w:rsidRPr="00FF54E0">
        <w:rPr>
          <w:rFonts w:ascii="Arial" w:eastAsia="Times New Roman" w:hAnsi="Arial" w:cs="Arial"/>
          <w:sz w:val="20"/>
          <w:szCs w:val="20"/>
        </w:rPr>
        <w:t>umowy</w:t>
      </w:r>
      <w:r>
        <w:rPr>
          <w:rFonts w:ascii="Arial" w:eastAsia="Times New Roman" w:hAnsi="Arial" w:cs="Arial"/>
          <w:sz w:val="20"/>
          <w:szCs w:val="20"/>
        </w:rPr>
        <w:t xml:space="preserve"> nr 14/</w:t>
      </w:r>
      <w:proofErr w:type="spellStart"/>
      <w:r>
        <w:rPr>
          <w:rFonts w:ascii="Arial" w:eastAsia="Times New Roman" w:hAnsi="Arial" w:cs="Arial"/>
          <w:sz w:val="20"/>
          <w:szCs w:val="20"/>
        </w:rPr>
        <w:t>WIiN</w:t>
      </w:r>
      <w:proofErr w:type="spellEnd"/>
      <w:r>
        <w:rPr>
          <w:rFonts w:ascii="Arial" w:eastAsia="Times New Roman" w:hAnsi="Arial" w:cs="Arial"/>
          <w:sz w:val="20"/>
          <w:szCs w:val="20"/>
        </w:rPr>
        <w:t>/2017</w:t>
      </w:r>
      <w:r w:rsidR="00C21965">
        <w:rPr>
          <w:rFonts w:ascii="Arial" w:eastAsia="Times New Roman" w:hAnsi="Arial" w:cs="Arial"/>
          <w:sz w:val="20"/>
          <w:szCs w:val="20"/>
        </w:rPr>
        <w:t xml:space="preserve">. </w:t>
      </w:r>
      <w:r w:rsidR="00E3758D" w:rsidRPr="00E3758D">
        <w:rPr>
          <w:rFonts w:ascii="Arial" w:eastAsia="Times New Roman" w:hAnsi="Arial" w:cs="Arial"/>
          <w:sz w:val="20"/>
          <w:szCs w:val="20"/>
        </w:rPr>
        <w:t xml:space="preserve">Koszty kwalifikowane związane </w:t>
      </w:r>
      <w:r w:rsidR="00E3758D">
        <w:rPr>
          <w:rFonts w:ascii="Arial" w:eastAsia="Times New Roman" w:hAnsi="Arial" w:cs="Arial"/>
          <w:sz w:val="20"/>
          <w:szCs w:val="20"/>
        </w:rPr>
        <w:t xml:space="preserve">są również </w:t>
      </w:r>
      <w:r w:rsidR="00021BD2">
        <w:rPr>
          <w:rFonts w:ascii="Arial" w:eastAsia="Times New Roman" w:hAnsi="Arial" w:cs="Arial"/>
          <w:sz w:val="20"/>
          <w:szCs w:val="20"/>
        </w:rPr>
        <w:br/>
      </w:r>
      <w:r w:rsidR="00E3758D" w:rsidRPr="00E3758D">
        <w:rPr>
          <w:rFonts w:ascii="Arial" w:eastAsia="Times New Roman" w:hAnsi="Arial" w:cs="Arial"/>
          <w:sz w:val="20"/>
          <w:szCs w:val="20"/>
        </w:rPr>
        <w:t xml:space="preserve">z usługą </w:t>
      </w:r>
      <w:r w:rsidR="009246EA">
        <w:rPr>
          <w:rFonts w:ascii="Arial" w:eastAsia="Times New Roman" w:hAnsi="Arial" w:cs="Arial"/>
          <w:sz w:val="20"/>
          <w:szCs w:val="20"/>
        </w:rPr>
        <w:t>zapewnienia</w:t>
      </w:r>
      <w:r w:rsidR="00E3758D" w:rsidRPr="00E3758D">
        <w:rPr>
          <w:rFonts w:ascii="Arial" w:eastAsia="Times New Roman" w:hAnsi="Arial" w:cs="Arial"/>
          <w:sz w:val="20"/>
          <w:szCs w:val="20"/>
        </w:rPr>
        <w:t xml:space="preserve"> doradztwa i nadzoru w zakresie termomodernizacji istniejącego budynku biurowego przy ul. P</w:t>
      </w:r>
      <w:r w:rsidR="00E3758D">
        <w:rPr>
          <w:rFonts w:ascii="Arial" w:eastAsia="Times New Roman" w:hAnsi="Arial" w:cs="Arial"/>
          <w:sz w:val="20"/>
          <w:szCs w:val="20"/>
        </w:rPr>
        <w:t xml:space="preserve">iłsudskiego 40-42 w Szczecinie, </w:t>
      </w:r>
      <w:r w:rsidR="009246EA">
        <w:rPr>
          <w:rFonts w:ascii="Arial" w:eastAsia="Times New Roman" w:hAnsi="Arial" w:cs="Arial"/>
          <w:sz w:val="20"/>
          <w:szCs w:val="20"/>
        </w:rPr>
        <w:t>zgodnie z umową nr 15/</w:t>
      </w:r>
      <w:proofErr w:type="spellStart"/>
      <w:r w:rsidR="009246EA">
        <w:rPr>
          <w:rFonts w:ascii="Arial" w:eastAsia="Times New Roman" w:hAnsi="Arial" w:cs="Arial"/>
          <w:sz w:val="20"/>
          <w:szCs w:val="20"/>
        </w:rPr>
        <w:t>WIiN</w:t>
      </w:r>
      <w:proofErr w:type="spellEnd"/>
      <w:r w:rsidR="009246EA">
        <w:rPr>
          <w:rFonts w:ascii="Arial" w:eastAsia="Times New Roman" w:hAnsi="Arial" w:cs="Arial"/>
          <w:sz w:val="20"/>
          <w:szCs w:val="20"/>
        </w:rPr>
        <w:t>/2017</w:t>
      </w:r>
      <w:r w:rsidR="00E3758D">
        <w:rPr>
          <w:rFonts w:ascii="Arial" w:eastAsia="Times New Roman" w:hAnsi="Arial" w:cs="Arial"/>
          <w:sz w:val="20"/>
          <w:szCs w:val="20"/>
        </w:rPr>
        <w:t>.</w:t>
      </w:r>
    </w:p>
    <w:p w:rsidR="003D4BA2" w:rsidRPr="00CF4978" w:rsidRDefault="00C21965" w:rsidP="003D4BA2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Koszty </w:t>
      </w:r>
      <w:r w:rsidR="00E3758D">
        <w:rPr>
          <w:rFonts w:ascii="Arial" w:eastAsia="Times New Roman" w:hAnsi="Arial" w:cs="Arial"/>
          <w:sz w:val="20"/>
          <w:szCs w:val="20"/>
        </w:rPr>
        <w:t>powyższych</w:t>
      </w:r>
      <w:r>
        <w:rPr>
          <w:rFonts w:ascii="Arial" w:eastAsia="Times New Roman" w:hAnsi="Arial" w:cs="Arial"/>
          <w:sz w:val="20"/>
          <w:szCs w:val="20"/>
        </w:rPr>
        <w:t xml:space="preserve"> usług</w:t>
      </w:r>
      <w:r w:rsidR="003D4BA2">
        <w:rPr>
          <w:rFonts w:ascii="Arial" w:eastAsia="Times New Roman" w:hAnsi="Arial" w:cs="Arial"/>
          <w:sz w:val="20"/>
          <w:szCs w:val="20"/>
        </w:rPr>
        <w:t xml:space="preserve"> są przyporządkowane odrębnie dla Zadania 1 i dla Zadania 2. K</w:t>
      </w:r>
      <w:r w:rsidR="003D4BA2" w:rsidRPr="00147F48">
        <w:rPr>
          <w:rFonts w:ascii="Arial" w:eastAsia="Times New Roman" w:hAnsi="Arial" w:cs="Arial"/>
          <w:sz w:val="20"/>
          <w:szCs w:val="20"/>
        </w:rPr>
        <w:t xml:space="preserve">oszty </w:t>
      </w:r>
      <w:proofErr w:type="spellStart"/>
      <w:r w:rsidR="003D4BA2" w:rsidRPr="00147F48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="003D4BA2" w:rsidRPr="00147F48">
        <w:rPr>
          <w:rFonts w:ascii="Arial" w:eastAsia="Times New Roman" w:hAnsi="Arial" w:cs="Arial"/>
          <w:sz w:val="20"/>
          <w:szCs w:val="20"/>
        </w:rPr>
        <w:t xml:space="preserve"> związane z </w:t>
      </w:r>
      <w:r w:rsidR="003D4BA2">
        <w:rPr>
          <w:rFonts w:ascii="Arial" w:eastAsia="Times New Roman" w:hAnsi="Arial" w:cs="Arial"/>
          <w:sz w:val="20"/>
          <w:szCs w:val="20"/>
        </w:rPr>
        <w:t>usługą</w:t>
      </w:r>
      <w:r w:rsidR="003D4BA2" w:rsidRPr="00147F48">
        <w:rPr>
          <w:rFonts w:ascii="Arial" w:eastAsia="Times New Roman" w:hAnsi="Arial" w:cs="Arial"/>
          <w:sz w:val="20"/>
          <w:szCs w:val="20"/>
        </w:rPr>
        <w:t xml:space="preserve"> </w:t>
      </w:r>
      <w:r w:rsidRPr="00147F48">
        <w:rPr>
          <w:rFonts w:ascii="Arial" w:eastAsia="Times New Roman" w:hAnsi="Arial" w:cs="Arial"/>
          <w:sz w:val="20"/>
          <w:szCs w:val="20"/>
        </w:rPr>
        <w:t xml:space="preserve">doradztwa i certyfikacji </w:t>
      </w:r>
      <w:r w:rsidR="003D4BA2" w:rsidRPr="00147F48">
        <w:rPr>
          <w:rFonts w:ascii="Arial" w:eastAsia="Times New Roman" w:hAnsi="Arial" w:cs="Arial"/>
          <w:sz w:val="20"/>
          <w:szCs w:val="20"/>
        </w:rPr>
        <w:t xml:space="preserve">wyliczane są </w:t>
      </w:r>
      <w:r w:rsidR="003D4BA2">
        <w:rPr>
          <w:rFonts w:ascii="Arial" w:eastAsia="Times New Roman" w:hAnsi="Arial" w:cs="Arial"/>
          <w:sz w:val="20"/>
          <w:szCs w:val="20"/>
        </w:rPr>
        <w:t xml:space="preserve">więc </w:t>
      </w:r>
      <w:r w:rsidR="003D4BA2" w:rsidRPr="00147F48">
        <w:rPr>
          <w:rFonts w:ascii="Arial" w:eastAsia="Times New Roman" w:hAnsi="Arial" w:cs="Arial"/>
          <w:sz w:val="20"/>
          <w:szCs w:val="20"/>
        </w:rPr>
        <w:t xml:space="preserve">wg schematu: </w:t>
      </w:r>
    </w:p>
    <w:p w:rsidR="003D4BA2" w:rsidRPr="00103C88" w:rsidRDefault="003D4BA2" w:rsidP="003D4BA2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 xml:space="preserve">Koszt usługi </w:t>
      </w:r>
      <w:r w:rsidR="00C21965" w:rsidRPr="00103C88">
        <w:rPr>
          <w:rFonts w:ascii="Arial" w:eastAsia="Times New Roman" w:hAnsi="Arial" w:cs="Arial"/>
          <w:sz w:val="20"/>
          <w:szCs w:val="20"/>
        </w:rPr>
        <w:t>doradztwa i certyfikacji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[Kwota faktury]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 [WK1]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="00073901" w:rsidRPr="00103C88">
        <w:rPr>
          <w:rFonts w:ascii="Arial" w:eastAsia="Times New Roman" w:hAnsi="Arial" w:cs="Arial"/>
          <w:sz w:val="20"/>
          <w:szCs w:val="20"/>
        </w:rPr>
        <w:t>[W</w:t>
      </w:r>
      <w:r w:rsidRPr="00103C88">
        <w:rPr>
          <w:rFonts w:ascii="Arial" w:eastAsia="Times New Roman" w:hAnsi="Arial" w:cs="Arial"/>
          <w:sz w:val="20"/>
          <w:szCs w:val="20"/>
        </w:rPr>
        <w:t>K2]</w:t>
      </w:r>
    </w:p>
    <w:p w:rsidR="003D4BA2" w:rsidRDefault="004D34CA" w:rsidP="008A2C43">
      <w:pPr>
        <w:spacing w:after="0" w:line="360" w:lineRule="auto"/>
        <w:ind w:left="992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Przykład 7</w:t>
      </w:r>
    </w:p>
    <w:p w:rsidR="003D4BA2" w:rsidRPr="00103C88" w:rsidRDefault="003D4BA2" w:rsidP="008A2C43">
      <w:pPr>
        <w:spacing w:after="0" w:line="360" w:lineRule="auto"/>
        <w:ind w:left="992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 xml:space="preserve">Koszt usługi </w:t>
      </w:r>
      <w:r w:rsidR="00C21965" w:rsidRPr="00103C88">
        <w:rPr>
          <w:rFonts w:ascii="Arial" w:eastAsia="Times New Roman" w:hAnsi="Arial" w:cs="Arial"/>
          <w:sz w:val="20"/>
          <w:szCs w:val="20"/>
        </w:rPr>
        <w:t>doradztwa i certyfikacji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C21965" w:rsidRPr="00103C88">
        <w:rPr>
          <w:rFonts w:ascii="Arial" w:eastAsia="Times New Roman" w:hAnsi="Arial" w:cs="Arial"/>
          <w:sz w:val="20"/>
          <w:szCs w:val="20"/>
        </w:rPr>
        <w:t xml:space="preserve">1.000,00 zł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="00C21965" w:rsidRPr="00103C88">
        <w:rPr>
          <w:rFonts w:ascii="Arial" w:eastAsia="Times New Roman" w:hAnsi="Arial" w:cs="Arial"/>
          <w:sz w:val="20"/>
          <w:szCs w:val="20"/>
        </w:rPr>
        <w:t xml:space="preserve"> 97,03%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="00C21965" w:rsidRPr="00103C88">
        <w:rPr>
          <w:rFonts w:ascii="Arial" w:eastAsia="Times New Roman" w:hAnsi="Arial" w:cs="Arial"/>
          <w:sz w:val="20"/>
          <w:szCs w:val="20"/>
        </w:rPr>
        <w:t>17,46%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="00237E31" w:rsidRPr="00103C88">
        <w:rPr>
          <w:rFonts w:ascii="Arial" w:eastAsia="Times New Roman" w:hAnsi="Arial" w:cs="Arial"/>
          <w:sz w:val="20"/>
          <w:szCs w:val="20"/>
        </w:rPr>
        <w:t>169,41</w:t>
      </w:r>
      <w:r w:rsidR="00784C4F" w:rsidRPr="00103C88">
        <w:rPr>
          <w:rFonts w:ascii="Arial" w:eastAsia="Times New Roman" w:hAnsi="Arial" w:cs="Arial"/>
          <w:sz w:val="20"/>
          <w:szCs w:val="20"/>
        </w:rPr>
        <w:t xml:space="preserve"> zł</w:t>
      </w:r>
    </w:p>
    <w:p w:rsidR="00B443A1" w:rsidRDefault="00B443A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D34CA" w:rsidRDefault="004D34CA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83C4C" w:rsidRDefault="00483C4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443A1" w:rsidRPr="00483C4C" w:rsidRDefault="00694042">
      <w:pPr>
        <w:spacing w:line="360" w:lineRule="auto"/>
        <w:rPr>
          <w:rFonts w:ascii="Arial" w:eastAsia="Times New Roman" w:hAnsi="Arial" w:cs="Arial"/>
          <w:b/>
        </w:rPr>
      </w:pPr>
      <w:r w:rsidRPr="00483C4C">
        <w:rPr>
          <w:rFonts w:ascii="Arial" w:eastAsia="Times New Roman" w:hAnsi="Arial" w:cs="Arial"/>
          <w:b/>
        </w:rPr>
        <w:lastRenderedPageBreak/>
        <w:t>Rozliczenie kosztów wynagrodzeń</w:t>
      </w:r>
    </w:p>
    <w:p w:rsidR="00A861FC" w:rsidRDefault="007E2AD0" w:rsidP="00A861F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Pracownicy </w:t>
      </w:r>
      <w:proofErr w:type="spellStart"/>
      <w:r>
        <w:rPr>
          <w:rFonts w:ascii="Arial" w:eastAsia="Times New Roman" w:hAnsi="Arial" w:cs="Arial"/>
          <w:sz w:val="20"/>
          <w:szCs w:val="20"/>
        </w:rPr>
        <w:t>WIiN</w:t>
      </w:r>
      <w:proofErr w:type="spellEnd"/>
      <w:r w:rsidR="00694042" w:rsidRPr="00694042">
        <w:rPr>
          <w:rFonts w:ascii="Arial" w:eastAsia="Times New Roman" w:hAnsi="Arial" w:cs="Arial"/>
          <w:sz w:val="20"/>
          <w:szCs w:val="20"/>
        </w:rPr>
        <w:t xml:space="preserve"> w swoim zakresie obowiązków (lub innym równoważnym dokumencie) posiada</w:t>
      </w:r>
      <w:r>
        <w:rPr>
          <w:rFonts w:ascii="Arial" w:eastAsia="Times New Roman" w:hAnsi="Arial" w:cs="Arial"/>
          <w:sz w:val="20"/>
          <w:szCs w:val="20"/>
        </w:rPr>
        <w:t>ją</w:t>
      </w:r>
      <w:r w:rsidR="00694042" w:rsidRPr="00694042">
        <w:rPr>
          <w:rFonts w:ascii="Arial" w:eastAsia="Times New Roman" w:hAnsi="Arial" w:cs="Arial"/>
          <w:sz w:val="20"/>
          <w:szCs w:val="20"/>
        </w:rPr>
        <w:t xml:space="preserve"> określony procent etatu w jakim wykonuj</w:t>
      </w:r>
      <w:r>
        <w:rPr>
          <w:rFonts w:ascii="Arial" w:eastAsia="Times New Roman" w:hAnsi="Arial" w:cs="Arial"/>
          <w:sz w:val="20"/>
          <w:szCs w:val="20"/>
        </w:rPr>
        <w:t>ą</w:t>
      </w:r>
      <w:r w:rsidR="00694042" w:rsidRPr="00694042">
        <w:rPr>
          <w:rFonts w:ascii="Arial" w:eastAsia="Times New Roman" w:hAnsi="Arial" w:cs="Arial"/>
          <w:sz w:val="20"/>
          <w:szCs w:val="20"/>
        </w:rPr>
        <w:t xml:space="preserve"> zadania w ramach całej inwestycji „</w:t>
      </w:r>
      <w:r w:rsidR="00694042" w:rsidRPr="00694042">
        <w:rPr>
          <w:rFonts w:ascii="Arial" w:eastAsia="Times New Roman" w:hAnsi="Arial" w:cs="Arial"/>
          <w:i/>
          <w:sz w:val="20"/>
          <w:szCs w:val="20"/>
        </w:rPr>
        <w:t>Konsolidacja siedziby Urzędu Marszałkowskiego Województwa Zachodniopomorskiego w Szczecinie</w:t>
      </w:r>
      <w:r w:rsidR="00694042" w:rsidRPr="00694042">
        <w:rPr>
          <w:rFonts w:ascii="Arial" w:eastAsia="Times New Roman" w:hAnsi="Arial" w:cs="Arial"/>
          <w:sz w:val="20"/>
          <w:szCs w:val="20"/>
        </w:rPr>
        <w:t>”</w:t>
      </w:r>
      <w:r>
        <w:rPr>
          <w:rFonts w:ascii="Arial" w:eastAsia="Times New Roman" w:hAnsi="Arial" w:cs="Arial"/>
          <w:sz w:val="20"/>
          <w:szCs w:val="20"/>
        </w:rPr>
        <w:t xml:space="preserve"> (Zadanie 1 i Zadanie 2)</w:t>
      </w:r>
      <w:r w:rsidR="00694042" w:rsidRPr="00694042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 xml:space="preserve">Wielkość tę </w:t>
      </w:r>
      <w:r w:rsidR="00A861FC">
        <w:rPr>
          <w:rFonts w:ascii="Arial" w:eastAsia="Times New Roman" w:hAnsi="Arial" w:cs="Arial"/>
          <w:sz w:val="20"/>
          <w:szCs w:val="20"/>
        </w:rPr>
        <w:t xml:space="preserve">poniżej, </w:t>
      </w:r>
      <w:r>
        <w:rPr>
          <w:rFonts w:ascii="Arial" w:eastAsia="Times New Roman" w:hAnsi="Arial" w:cs="Arial"/>
          <w:sz w:val="20"/>
          <w:szCs w:val="20"/>
        </w:rPr>
        <w:t>na potrzeby niniejszej metodologii</w:t>
      </w:r>
      <w:r w:rsidR="00A861FC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określono jako „procent etatu </w:t>
      </w:r>
      <w:r w:rsidR="00A861FC">
        <w:rPr>
          <w:rFonts w:ascii="Arial" w:eastAsia="Times New Roman" w:hAnsi="Arial" w:cs="Arial"/>
          <w:sz w:val="20"/>
          <w:szCs w:val="20"/>
        </w:rPr>
        <w:t xml:space="preserve">na rzecz Konsolidacji”. </w:t>
      </w:r>
      <w:r w:rsidR="00A861FC" w:rsidRPr="00147F48">
        <w:rPr>
          <w:rFonts w:ascii="Arial" w:eastAsia="Times New Roman" w:hAnsi="Arial" w:cs="Arial"/>
          <w:sz w:val="20"/>
          <w:szCs w:val="20"/>
        </w:rPr>
        <w:t xml:space="preserve">Od września 2019 r. </w:t>
      </w:r>
      <w:r w:rsidR="00A861FC">
        <w:rPr>
          <w:rFonts w:ascii="Arial" w:eastAsia="Times New Roman" w:hAnsi="Arial" w:cs="Arial"/>
          <w:sz w:val="20"/>
          <w:szCs w:val="20"/>
        </w:rPr>
        <w:t>obydwa Zadania realizowane są za pośrednictwem trzech projektów wymienionych we wstępie.</w:t>
      </w:r>
    </w:p>
    <w:p w:rsidR="00B77124" w:rsidRDefault="00B77124" w:rsidP="00A861F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861FC" w:rsidRDefault="00A861FC" w:rsidP="00A861FC">
      <w:pPr>
        <w:spacing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83C4C">
        <w:rPr>
          <w:rFonts w:ascii="Arial" w:eastAsia="Times New Roman" w:hAnsi="Arial" w:cs="Arial"/>
          <w:b/>
          <w:sz w:val="20"/>
          <w:szCs w:val="20"/>
        </w:rPr>
        <w:t xml:space="preserve">● </w:t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Wskaźnik </w:t>
      </w:r>
      <w:proofErr w:type="spellStart"/>
      <w:r>
        <w:rPr>
          <w:rFonts w:ascii="Arial" w:eastAsia="Times New Roman" w:hAnsi="Arial" w:cs="Arial"/>
          <w:b/>
          <w:i/>
          <w:sz w:val="20"/>
          <w:szCs w:val="20"/>
        </w:rPr>
        <w:t>kwalifikowalności</w:t>
      </w:r>
      <w:proofErr w:type="spellEnd"/>
      <w:r>
        <w:rPr>
          <w:rFonts w:ascii="Arial" w:eastAsia="Times New Roman" w:hAnsi="Arial" w:cs="Arial"/>
          <w:b/>
          <w:i/>
          <w:sz w:val="20"/>
          <w:szCs w:val="20"/>
        </w:rPr>
        <w:t xml:space="preserve"> 4</w:t>
      </w:r>
    </w:p>
    <w:p w:rsidR="00A861FC" w:rsidRDefault="00A861FC" w:rsidP="00A861F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Dodatkowo</w:t>
      </w:r>
      <w:r w:rsidRPr="00147F48">
        <w:rPr>
          <w:rFonts w:ascii="Arial" w:eastAsia="Times New Roman" w:hAnsi="Arial" w:cs="Arial"/>
          <w:sz w:val="20"/>
          <w:szCs w:val="20"/>
        </w:rPr>
        <w:t xml:space="preserve"> w zakresie obowiązków (lub innym równoważnym dokumencie) określony jest procent, </w:t>
      </w:r>
      <w:r w:rsidR="00021BD2">
        <w:rPr>
          <w:rFonts w:ascii="Arial" w:eastAsia="Times New Roman" w:hAnsi="Arial" w:cs="Arial"/>
          <w:sz w:val="20"/>
          <w:szCs w:val="20"/>
        </w:rPr>
        <w:br/>
      </w:r>
      <w:r w:rsidRPr="00147F48">
        <w:rPr>
          <w:rFonts w:ascii="Arial" w:eastAsia="Times New Roman" w:hAnsi="Arial" w:cs="Arial"/>
          <w:sz w:val="20"/>
          <w:szCs w:val="20"/>
        </w:rPr>
        <w:t>w jakim każdy pracownik wykonuje zadania w ramach projektu dofinansowanego z Pomo</w:t>
      </w:r>
      <w:r>
        <w:rPr>
          <w:rFonts w:ascii="Arial" w:eastAsia="Times New Roman" w:hAnsi="Arial" w:cs="Arial"/>
          <w:sz w:val="20"/>
          <w:szCs w:val="20"/>
        </w:rPr>
        <w:t xml:space="preserve">cy Technicznej RPO WZ 2014-2020, który </w:t>
      </w:r>
      <w:r w:rsidRPr="00147F48">
        <w:rPr>
          <w:rFonts w:ascii="Arial" w:eastAsia="Times New Roman" w:hAnsi="Arial" w:cs="Arial"/>
          <w:sz w:val="20"/>
          <w:szCs w:val="20"/>
        </w:rPr>
        <w:t xml:space="preserve">został określony jako </w:t>
      </w:r>
      <w:r>
        <w:rPr>
          <w:rFonts w:ascii="Arial" w:eastAsia="Times New Roman" w:hAnsi="Arial" w:cs="Arial"/>
          <w:sz w:val="20"/>
          <w:szCs w:val="20"/>
        </w:rPr>
        <w:t xml:space="preserve">stosunek udziału kosztów </w:t>
      </w:r>
      <w:proofErr w:type="spellStart"/>
      <w:r>
        <w:rPr>
          <w:rFonts w:ascii="Arial" w:eastAsia="Times New Roman" w:hAnsi="Arial" w:cs="Arial"/>
          <w:sz w:val="20"/>
          <w:szCs w:val="20"/>
        </w:rPr>
        <w:t>kwalifikowalnych</w:t>
      </w:r>
      <w:proofErr w:type="spellEnd"/>
      <w:r w:rsidRPr="00147F48">
        <w:rPr>
          <w:rFonts w:ascii="Arial" w:eastAsia="Times New Roman" w:hAnsi="Arial" w:cs="Arial"/>
          <w:sz w:val="20"/>
          <w:szCs w:val="20"/>
        </w:rPr>
        <w:t xml:space="preserve"> w ramach Pomocy Technicznej </w:t>
      </w:r>
      <w:r>
        <w:rPr>
          <w:rFonts w:ascii="Arial" w:eastAsia="Times New Roman" w:hAnsi="Arial" w:cs="Arial"/>
          <w:sz w:val="20"/>
          <w:szCs w:val="20"/>
        </w:rPr>
        <w:t>wynikający z oferty Wykonawcy do</w:t>
      </w:r>
      <w:r w:rsidRPr="00147F48">
        <w:rPr>
          <w:rFonts w:ascii="Arial" w:eastAsia="Times New Roman" w:hAnsi="Arial" w:cs="Arial"/>
          <w:sz w:val="20"/>
          <w:szCs w:val="20"/>
        </w:rPr>
        <w:t xml:space="preserve"> całej wartości oferty Wykonawcy</w:t>
      </w:r>
      <w:r w:rsidR="00B443A1">
        <w:rPr>
          <w:rFonts w:ascii="Arial" w:eastAsia="Times New Roman" w:hAnsi="Arial" w:cs="Arial"/>
          <w:sz w:val="20"/>
          <w:szCs w:val="20"/>
        </w:rPr>
        <w:t xml:space="preserve"> (Załącznik nr 2)</w:t>
      </w:r>
      <w:r w:rsidRPr="00147F48">
        <w:rPr>
          <w:rFonts w:ascii="Arial" w:eastAsia="Times New Roman" w:hAnsi="Arial" w:cs="Arial"/>
          <w:sz w:val="20"/>
          <w:szCs w:val="20"/>
        </w:rPr>
        <w:t>, wg poniższego schematu:</w:t>
      </w:r>
    </w:p>
    <w:p w:rsidR="00A861FC" w:rsidRDefault="00A861FC" w:rsidP="00A861F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[</w:t>
      </w:r>
      <w:r w:rsidRPr="00143C2E">
        <w:rPr>
          <w:rFonts w:ascii="Arial" w:eastAsia="Times New Roman" w:hAnsi="Arial" w:cs="Arial"/>
          <w:b/>
          <w:sz w:val="20"/>
          <w:szCs w:val="20"/>
        </w:rPr>
        <w:t>W</w:t>
      </w:r>
      <w:r>
        <w:rPr>
          <w:rFonts w:ascii="Arial" w:eastAsia="Times New Roman" w:hAnsi="Arial" w:cs="Arial"/>
          <w:b/>
          <w:sz w:val="20"/>
          <w:szCs w:val="20"/>
        </w:rPr>
        <w:t>K4</w:t>
      </w:r>
      <w:r w:rsidRPr="00143C2E">
        <w:rPr>
          <w:rFonts w:ascii="Arial" w:eastAsia="Times New Roman" w:hAnsi="Arial" w:cs="Arial"/>
          <w:b/>
          <w:sz w:val="20"/>
          <w:szCs w:val="20"/>
        </w:rPr>
        <w:t>]</w:t>
      </w:r>
      <w:r w:rsidRPr="00143C2E">
        <w:rPr>
          <w:rFonts w:ascii="Arial" w:eastAsia="Times New Roman" w:hAnsi="Arial" w:cs="Arial"/>
          <w:sz w:val="20"/>
          <w:szCs w:val="20"/>
        </w:rPr>
        <w:t xml:space="preserve"> 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143C2E">
        <w:rPr>
          <w:rFonts w:ascii="Arial" w:eastAsia="Times New Roman" w:hAnsi="Arial" w:cs="Arial"/>
          <w:sz w:val="20"/>
          <w:szCs w:val="20"/>
        </w:rPr>
        <w:t xml:space="preserve">wskaźnik </w:t>
      </w:r>
      <w:proofErr w:type="spellStart"/>
      <w:r w:rsidRPr="00143C2E">
        <w:rPr>
          <w:rFonts w:ascii="Arial" w:eastAsia="Times New Roman" w:hAnsi="Arial" w:cs="Arial"/>
          <w:sz w:val="20"/>
          <w:szCs w:val="20"/>
        </w:rPr>
        <w:t>kwalifikowalności</w:t>
      </w:r>
      <w:proofErr w:type="spellEnd"/>
      <w:r w:rsidRPr="00143C2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wynagrodzeń w projekcie PT</w:t>
      </w:r>
    </w:p>
    <w:p w:rsidR="00A861FC" w:rsidRPr="00103C88" w:rsidRDefault="00B146A0" w:rsidP="00A861FC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Arial" w:cs="Arial"/>
                  <w:b/>
                  <w:sz w:val="20"/>
                  <w:szCs w:val="20"/>
                </w:rPr>
              </m:ctrlPr>
            </m:dPr>
            <m:e>
              <m:r>
                <m:rPr>
                  <m:nor/>
                </m:rPr>
                <w:rPr>
                  <w:rFonts w:ascii="Arial" w:eastAsia="Times New Roman" w:hAnsi="Arial" w:cs="Arial"/>
                  <w:b/>
                  <w:sz w:val="20"/>
                  <w:szCs w:val="20"/>
                </w:rPr>
                <m:t>WK4</m:t>
              </m:r>
            </m:e>
          </m:d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=  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koszt kwalifikowalny w ramach PT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całkowity koszt oferty Wykonawcy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× 100 = </m:t>
          </m:r>
          <m:f>
            <m:fPr>
              <m:ctrlPr>
                <w:rPr>
                  <w:rFonts w:ascii="Cambria Math" w:eastAsia="Times New Roman" w:hAnsi="Arial" w:cs="Arial"/>
                  <w:i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13.960.019,18 zł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199.895.152,30 zł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sz w:val="20"/>
              <w:szCs w:val="20"/>
            </w:rPr>
            <m:t xml:space="preserve"> × 100 = </m:t>
          </m:r>
          <m:r>
            <m:rPr>
              <m:nor/>
            </m:rPr>
            <w:rPr>
              <w:rFonts w:ascii="Arial" w:eastAsia="Times New Roman" w:hAnsi="Arial" w:cs="Arial"/>
              <w:b/>
              <w:sz w:val="20"/>
              <w:szCs w:val="20"/>
            </w:rPr>
            <m:t>6,98%</m:t>
          </m:r>
        </m:oMath>
      </m:oMathPara>
    </w:p>
    <w:p w:rsidR="00784C4F" w:rsidRDefault="00784C4F" w:rsidP="00A861F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861FC" w:rsidRPr="00E447C6" w:rsidRDefault="00A861FC" w:rsidP="00A861FC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</w:t>
      </w:r>
      <w:r w:rsidRPr="00147F48">
        <w:rPr>
          <w:rFonts w:ascii="Arial" w:eastAsia="Times New Roman" w:hAnsi="Arial" w:cs="Arial"/>
          <w:sz w:val="20"/>
          <w:szCs w:val="20"/>
        </w:rPr>
        <w:t xml:space="preserve">oszty </w:t>
      </w:r>
      <w:proofErr w:type="spellStart"/>
      <w:r w:rsidRPr="00147F48">
        <w:rPr>
          <w:rFonts w:ascii="Arial" w:eastAsia="Times New Roman" w:hAnsi="Arial" w:cs="Arial"/>
          <w:sz w:val="20"/>
          <w:szCs w:val="20"/>
        </w:rPr>
        <w:t>kwalifikowalne</w:t>
      </w:r>
      <w:proofErr w:type="spellEnd"/>
      <w:r w:rsidRPr="00147F48">
        <w:rPr>
          <w:rFonts w:ascii="Arial" w:eastAsia="Times New Roman" w:hAnsi="Arial" w:cs="Arial"/>
          <w:sz w:val="20"/>
          <w:szCs w:val="20"/>
        </w:rPr>
        <w:t xml:space="preserve"> </w:t>
      </w:r>
      <w:r w:rsidR="00784C4F">
        <w:rPr>
          <w:rFonts w:ascii="Arial" w:eastAsia="Times New Roman" w:hAnsi="Arial" w:cs="Arial"/>
          <w:sz w:val="20"/>
          <w:szCs w:val="20"/>
        </w:rPr>
        <w:t xml:space="preserve">wynagrodzeń (liczone jako kwota brutto </w:t>
      </w:r>
      <w:r w:rsidR="00784C4F" w:rsidRPr="00147F48">
        <w:rPr>
          <w:rFonts w:ascii="Arial" w:eastAsia="Times New Roman" w:hAnsi="Arial" w:cs="Arial"/>
          <w:sz w:val="20"/>
          <w:szCs w:val="20"/>
        </w:rPr>
        <w:t>wraz z pochodnymi</w:t>
      </w:r>
      <w:r w:rsidR="00784C4F">
        <w:rPr>
          <w:rFonts w:ascii="Arial" w:eastAsia="Times New Roman" w:hAnsi="Arial" w:cs="Arial"/>
          <w:sz w:val="20"/>
          <w:szCs w:val="20"/>
        </w:rPr>
        <w:t xml:space="preserve">) </w:t>
      </w:r>
      <w:r w:rsidRPr="00147F48">
        <w:rPr>
          <w:rFonts w:ascii="Arial" w:eastAsia="Times New Roman" w:hAnsi="Arial" w:cs="Arial"/>
          <w:sz w:val="20"/>
          <w:szCs w:val="20"/>
        </w:rPr>
        <w:t xml:space="preserve">wyliczane są </w:t>
      </w:r>
      <w:r w:rsidR="00784C4F">
        <w:rPr>
          <w:rFonts w:ascii="Arial" w:eastAsia="Times New Roman" w:hAnsi="Arial" w:cs="Arial"/>
          <w:sz w:val="20"/>
          <w:szCs w:val="20"/>
        </w:rPr>
        <w:t xml:space="preserve">więc </w:t>
      </w:r>
      <w:r w:rsidRPr="00147F48">
        <w:rPr>
          <w:rFonts w:ascii="Arial" w:eastAsia="Times New Roman" w:hAnsi="Arial" w:cs="Arial"/>
          <w:sz w:val="20"/>
          <w:szCs w:val="20"/>
        </w:rPr>
        <w:t xml:space="preserve">wg schematu: </w:t>
      </w:r>
    </w:p>
    <w:p w:rsidR="00A861FC" w:rsidRPr="00103C88" w:rsidRDefault="00A861FC" w:rsidP="00A861FC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>Kosz</w:t>
      </w:r>
      <w:r w:rsidR="009E3B09">
        <w:rPr>
          <w:rFonts w:ascii="Arial" w:eastAsia="Times New Roman" w:hAnsi="Arial" w:cs="Arial"/>
          <w:sz w:val="20"/>
          <w:szCs w:val="20"/>
        </w:rPr>
        <w:t>t</w:t>
      </w:r>
      <w:r w:rsidR="00784C4F" w:rsidRPr="00103C88">
        <w:rPr>
          <w:rFonts w:ascii="Arial" w:eastAsia="Times New Roman" w:hAnsi="Arial" w:cs="Arial"/>
          <w:sz w:val="20"/>
          <w:szCs w:val="20"/>
        </w:rPr>
        <w:t xml:space="preserve"> wynagrodzeń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103C88">
        <w:rPr>
          <w:rFonts w:ascii="Arial" w:eastAsia="Times New Roman" w:hAnsi="Arial" w:cs="Arial"/>
          <w:sz w:val="20"/>
          <w:szCs w:val="20"/>
        </w:rPr>
        <w:t>[</w:t>
      </w:r>
      <w:r w:rsidR="00784C4F" w:rsidRPr="00103C88">
        <w:rPr>
          <w:rFonts w:ascii="Arial" w:eastAsia="Times New Roman" w:hAnsi="Arial" w:cs="Arial"/>
          <w:sz w:val="20"/>
          <w:szCs w:val="20"/>
        </w:rPr>
        <w:t>Wysokość wynag</w:t>
      </w:r>
      <w:r w:rsidR="00E3758D" w:rsidRPr="00103C88">
        <w:rPr>
          <w:rFonts w:ascii="Arial" w:eastAsia="Times New Roman" w:hAnsi="Arial" w:cs="Arial"/>
          <w:sz w:val="20"/>
          <w:szCs w:val="20"/>
        </w:rPr>
        <w:t>r</w:t>
      </w:r>
      <w:r w:rsidR="00784C4F" w:rsidRPr="00103C88">
        <w:rPr>
          <w:rFonts w:ascii="Arial" w:eastAsia="Times New Roman" w:hAnsi="Arial" w:cs="Arial"/>
          <w:sz w:val="20"/>
          <w:szCs w:val="20"/>
        </w:rPr>
        <w:t>odzenia</w:t>
      </w:r>
      <w:r w:rsidRPr="00103C88">
        <w:rPr>
          <w:rFonts w:ascii="Arial" w:eastAsia="Times New Roman" w:hAnsi="Arial" w:cs="Arial"/>
          <w:sz w:val="20"/>
          <w:szCs w:val="20"/>
        </w:rPr>
        <w:t xml:space="preserve">]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 [</w:t>
      </w:r>
      <w:r w:rsidR="00784C4F" w:rsidRPr="00103C88">
        <w:rPr>
          <w:rFonts w:ascii="Arial" w:eastAsia="Times New Roman" w:hAnsi="Arial" w:cs="Arial"/>
          <w:sz w:val="20"/>
          <w:szCs w:val="20"/>
        </w:rPr>
        <w:t>procent etatu na rzecz Konsolidacji</w:t>
      </w:r>
      <w:r w:rsidRPr="00103C88">
        <w:rPr>
          <w:rFonts w:ascii="Arial" w:eastAsia="Times New Roman" w:hAnsi="Arial" w:cs="Arial"/>
          <w:sz w:val="20"/>
          <w:szCs w:val="20"/>
        </w:rPr>
        <w:t xml:space="preserve">]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 </w:t>
      </w:r>
      <w:r w:rsidR="00784C4F" w:rsidRPr="00103C88">
        <w:rPr>
          <w:rFonts w:ascii="Arial" w:eastAsia="Times New Roman" w:hAnsi="Arial" w:cs="Arial"/>
          <w:sz w:val="20"/>
          <w:szCs w:val="20"/>
        </w:rPr>
        <w:t>[WK4</w:t>
      </w:r>
      <w:r w:rsidRPr="00103C88">
        <w:rPr>
          <w:rFonts w:ascii="Arial" w:eastAsia="Times New Roman" w:hAnsi="Arial" w:cs="Arial"/>
          <w:sz w:val="20"/>
          <w:szCs w:val="20"/>
        </w:rPr>
        <w:t xml:space="preserve">] </w:t>
      </w:r>
    </w:p>
    <w:p w:rsidR="00784C4F" w:rsidRDefault="004D34CA" w:rsidP="008A2C43">
      <w:pPr>
        <w:spacing w:after="0" w:line="360" w:lineRule="auto"/>
        <w:ind w:left="992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>Przykład 8</w:t>
      </w:r>
    </w:p>
    <w:p w:rsidR="00784C4F" w:rsidRPr="00103C88" w:rsidRDefault="00784C4F" w:rsidP="008A2C43">
      <w:pPr>
        <w:spacing w:after="0" w:line="360" w:lineRule="auto"/>
        <w:ind w:left="992"/>
        <w:rPr>
          <w:rFonts w:ascii="Arial" w:eastAsia="Times New Roman" w:hAnsi="Arial" w:cs="Arial"/>
          <w:sz w:val="20"/>
          <w:szCs w:val="20"/>
        </w:rPr>
      </w:pPr>
      <w:r w:rsidRPr="00103C88">
        <w:rPr>
          <w:rFonts w:ascii="Arial" w:eastAsia="Times New Roman" w:hAnsi="Arial" w:cs="Arial"/>
          <w:sz w:val="20"/>
          <w:szCs w:val="20"/>
        </w:rPr>
        <w:t>Koszt wynagrodzeń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5.000,00 zł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 85,00% 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× </m:t>
        </m:r>
      </m:oMath>
      <w:r w:rsidRPr="00103C88">
        <w:rPr>
          <w:rFonts w:ascii="Arial" w:eastAsia="Times New Roman" w:hAnsi="Arial" w:cs="Arial"/>
          <w:sz w:val="20"/>
          <w:szCs w:val="20"/>
        </w:rPr>
        <w:t xml:space="preserve"> 6,98%</w:t>
      </w:r>
      <m:oMath>
        <m:r>
          <m:rPr>
            <m:nor/>
          </m:rPr>
          <w:rPr>
            <w:rFonts w:ascii="Arial" w:eastAsia="Times New Roman" w:hAnsi="Arial" w:cs="Arial"/>
            <w:sz w:val="20"/>
            <w:szCs w:val="20"/>
          </w:rPr>
          <m:t xml:space="preserve"> = </m:t>
        </m:r>
      </m:oMath>
      <w:r w:rsidRPr="00103C88">
        <w:rPr>
          <w:rFonts w:ascii="Arial" w:eastAsia="Times New Roman" w:hAnsi="Arial" w:cs="Arial"/>
          <w:sz w:val="20"/>
          <w:szCs w:val="20"/>
        </w:rPr>
        <w:t>296,65 zł</w:t>
      </w:r>
    </w:p>
    <w:p w:rsidR="00B443A1" w:rsidRDefault="00B443A1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443A1" w:rsidSect="00CB7B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6EA" w:rsidRDefault="009246EA" w:rsidP="00D66213">
      <w:pPr>
        <w:spacing w:after="0" w:line="240" w:lineRule="auto"/>
      </w:pPr>
      <w:r>
        <w:separator/>
      </w:r>
    </w:p>
  </w:endnote>
  <w:endnote w:type="continuationSeparator" w:id="0">
    <w:p w:rsidR="009246EA" w:rsidRDefault="009246EA" w:rsidP="00D6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2268"/>
      <w:docPartObj>
        <w:docPartGallery w:val="Page Numbers (Bottom of Page)"/>
        <w:docPartUnique/>
      </w:docPartObj>
    </w:sdtPr>
    <w:sdtContent>
      <w:p w:rsidR="009246EA" w:rsidRDefault="00B146A0">
        <w:pPr>
          <w:pStyle w:val="Stopka"/>
        </w:pPr>
        <w:r>
          <w:rPr>
            <w:noProof/>
            <w:lang w:eastAsia="pl-PL"/>
          </w:rPr>
          <w:pict>
            <v:rect id="Prostokąt 650" o:spid="_x0000_s2049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G70V7bDAgAArgUAAA4AAAAAAAAAAAAAAAAALgIAAGRycy9lMm9Eb2MueG1sUEsBAi0AFAAGAAgA&#10;AAAhACPlevHbAAAAAwEAAA8AAAAAAAAAAAAAAAAAHQUAAGRycy9kb3ducmV2LnhtbFBLBQYAAAAA&#10;BAAEAPMAAAAlBgAAAAA=&#10;" filled="f" fillcolor="#c0504d" stroked="f" strokecolor="#5c83b4" strokeweight="2.25pt">
              <v:textbox style="mso-next-textbox:#Prostokąt 650" inset=",0,,0">
                <w:txbxContent>
                  <w:p w:rsidR="009246EA" w:rsidRDefault="00B146A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 w:rsidRPr="00B146A0">
                      <w:fldChar w:fldCharType="begin"/>
                    </w:r>
                    <w:r w:rsidR="009246EA">
                      <w:instrText>PAGE   \* MERGEFORMAT</w:instrText>
                    </w:r>
                    <w:r w:rsidRPr="00B146A0">
                      <w:fldChar w:fldCharType="separate"/>
                    </w:r>
                    <w:r w:rsidR="00041516" w:rsidRPr="00041516">
                      <w:rPr>
                        <w:noProof/>
                        <w:color w:val="C0504D" w:themeColor="accent2"/>
                      </w:rPr>
                      <w:t>4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6EA" w:rsidRDefault="009246EA" w:rsidP="00D66213">
      <w:pPr>
        <w:spacing w:after="0" w:line="240" w:lineRule="auto"/>
      </w:pPr>
      <w:r>
        <w:separator/>
      </w:r>
    </w:p>
  </w:footnote>
  <w:footnote w:type="continuationSeparator" w:id="0">
    <w:p w:rsidR="009246EA" w:rsidRDefault="009246EA" w:rsidP="00D66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FB4"/>
    <w:multiLevelType w:val="hybridMultilevel"/>
    <w:tmpl w:val="3D600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F3EFD"/>
    <w:multiLevelType w:val="hybridMultilevel"/>
    <w:tmpl w:val="438E1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D1ECD"/>
    <w:multiLevelType w:val="hybridMultilevel"/>
    <w:tmpl w:val="ADE4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93A71"/>
    <w:multiLevelType w:val="hybridMultilevel"/>
    <w:tmpl w:val="5186E0F8"/>
    <w:lvl w:ilvl="0" w:tplc="340E44D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93CC8"/>
    <w:multiLevelType w:val="hybridMultilevel"/>
    <w:tmpl w:val="CA42EFC2"/>
    <w:lvl w:ilvl="0" w:tplc="C0CCE3D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F5E64"/>
    <w:multiLevelType w:val="hybridMultilevel"/>
    <w:tmpl w:val="897A881A"/>
    <w:lvl w:ilvl="0" w:tplc="69E638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B4B8F"/>
    <w:rsid w:val="00004D8E"/>
    <w:rsid w:val="00021BD2"/>
    <w:rsid w:val="00041516"/>
    <w:rsid w:val="00042EBF"/>
    <w:rsid w:val="00073901"/>
    <w:rsid w:val="00075DA7"/>
    <w:rsid w:val="00087CF4"/>
    <w:rsid w:val="000A1E7A"/>
    <w:rsid w:val="000A5F28"/>
    <w:rsid w:val="000B525F"/>
    <w:rsid w:val="000C3A76"/>
    <w:rsid w:val="000D6374"/>
    <w:rsid w:val="000F0982"/>
    <w:rsid w:val="000F5331"/>
    <w:rsid w:val="000F67EE"/>
    <w:rsid w:val="00103C88"/>
    <w:rsid w:val="00105BBC"/>
    <w:rsid w:val="00133507"/>
    <w:rsid w:val="00141CD9"/>
    <w:rsid w:val="00147F48"/>
    <w:rsid w:val="00180C17"/>
    <w:rsid w:val="00197C6B"/>
    <w:rsid w:val="001A47B7"/>
    <w:rsid w:val="001C51A3"/>
    <w:rsid w:val="00202368"/>
    <w:rsid w:val="00207F3A"/>
    <w:rsid w:val="00225CD1"/>
    <w:rsid w:val="00237E31"/>
    <w:rsid w:val="00272CFE"/>
    <w:rsid w:val="00274EF4"/>
    <w:rsid w:val="002A1544"/>
    <w:rsid w:val="002D10F3"/>
    <w:rsid w:val="00320BAC"/>
    <w:rsid w:val="00347F00"/>
    <w:rsid w:val="003633D6"/>
    <w:rsid w:val="00373122"/>
    <w:rsid w:val="0038670A"/>
    <w:rsid w:val="00386CC9"/>
    <w:rsid w:val="003927AD"/>
    <w:rsid w:val="003D4BA2"/>
    <w:rsid w:val="004002DB"/>
    <w:rsid w:val="004010B1"/>
    <w:rsid w:val="0046318F"/>
    <w:rsid w:val="0046622E"/>
    <w:rsid w:val="00471A5A"/>
    <w:rsid w:val="00483C4C"/>
    <w:rsid w:val="00490B51"/>
    <w:rsid w:val="00496FF5"/>
    <w:rsid w:val="004B4B8F"/>
    <w:rsid w:val="004D18F4"/>
    <w:rsid w:val="004D34CA"/>
    <w:rsid w:val="004F6CBF"/>
    <w:rsid w:val="005029DB"/>
    <w:rsid w:val="00516B46"/>
    <w:rsid w:val="00517F96"/>
    <w:rsid w:val="005228DC"/>
    <w:rsid w:val="00525FD9"/>
    <w:rsid w:val="00555EC2"/>
    <w:rsid w:val="005B1739"/>
    <w:rsid w:val="005B3BCC"/>
    <w:rsid w:val="005B5137"/>
    <w:rsid w:val="005D5F79"/>
    <w:rsid w:val="00622EB5"/>
    <w:rsid w:val="00654212"/>
    <w:rsid w:val="006825CE"/>
    <w:rsid w:val="00694042"/>
    <w:rsid w:val="006A1744"/>
    <w:rsid w:val="006B298D"/>
    <w:rsid w:val="006B39C0"/>
    <w:rsid w:val="006C502E"/>
    <w:rsid w:val="006F66C1"/>
    <w:rsid w:val="00707B1A"/>
    <w:rsid w:val="0071335E"/>
    <w:rsid w:val="00742BAF"/>
    <w:rsid w:val="00761AF6"/>
    <w:rsid w:val="00762DA4"/>
    <w:rsid w:val="0076535E"/>
    <w:rsid w:val="00784C4F"/>
    <w:rsid w:val="007A3A2E"/>
    <w:rsid w:val="007B7F65"/>
    <w:rsid w:val="007C177B"/>
    <w:rsid w:val="007E2AD0"/>
    <w:rsid w:val="008200F0"/>
    <w:rsid w:val="00823CAF"/>
    <w:rsid w:val="00825D5F"/>
    <w:rsid w:val="0082624A"/>
    <w:rsid w:val="00875D8B"/>
    <w:rsid w:val="00882D2A"/>
    <w:rsid w:val="008A18D8"/>
    <w:rsid w:val="008A2C43"/>
    <w:rsid w:val="008A2CEE"/>
    <w:rsid w:val="008A354E"/>
    <w:rsid w:val="008B4B47"/>
    <w:rsid w:val="008D0629"/>
    <w:rsid w:val="008D50A7"/>
    <w:rsid w:val="008F2436"/>
    <w:rsid w:val="00921EAD"/>
    <w:rsid w:val="009246EA"/>
    <w:rsid w:val="00933EE8"/>
    <w:rsid w:val="00940211"/>
    <w:rsid w:val="0094625D"/>
    <w:rsid w:val="009465AE"/>
    <w:rsid w:val="009A00DA"/>
    <w:rsid w:val="009A1CFC"/>
    <w:rsid w:val="009B5A6A"/>
    <w:rsid w:val="009D3354"/>
    <w:rsid w:val="009E3B09"/>
    <w:rsid w:val="00A861FC"/>
    <w:rsid w:val="00AD04F1"/>
    <w:rsid w:val="00AD28B2"/>
    <w:rsid w:val="00AE3411"/>
    <w:rsid w:val="00B13437"/>
    <w:rsid w:val="00B146A0"/>
    <w:rsid w:val="00B165D9"/>
    <w:rsid w:val="00B41432"/>
    <w:rsid w:val="00B443A1"/>
    <w:rsid w:val="00B44FAA"/>
    <w:rsid w:val="00B45F9C"/>
    <w:rsid w:val="00B60739"/>
    <w:rsid w:val="00B77124"/>
    <w:rsid w:val="00BA1FAD"/>
    <w:rsid w:val="00BA3A33"/>
    <w:rsid w:val="00BC1930"/>
    <w:rsid w:val="00BD5FAE"/>
    <w:rsid w:val="00C133F2"/>
    <w:rsid w:val="00C21965"/>
    <w:rsid w:val="00C51F57"/>
    <w:rsid w:val="00CB5CFC"/>
    <w:rsid w:val="00CB7B63"/>
    <w:rsid w:val="00CC4488"/>
    <w:rsid w:val="00CC60CA"/>
    <w:rsid w:val="00CC7B16"/>
    <w:rsid w:val="00CF4978"/>
    <w:rsid w:val="00CF7EA5"/>
    <w:rsid w:val="00D006A0"/>
    <w:rsid w:val="00D636AF"/>
    <w:rsid w:val="00D65704"/>
    <w:rsid w:val="00D66213"/>
    <w:rsid w:val="00DA60DA"/>
    <w:rsid w:val="00DA6556"/>
    <w:rsid w:val="00DC72B5"/>
    <w:rsid w:val="00E04339"/>
    <w:rsid w:val="00E11D54"/>
    <w:rsid w:val="00E3758D"/>
    <w:rsid w:val="00E447C6"/>
    <w:rsid w:val="00E75B38"/>
    <w:rsid w:val="00E81E8A"/>
    <w:rsid w:val="00EB39AF"/>
    <w:rsid w:val="00ED72AD"/>
    <w:rsid w:val="00F1238E"/>
    <w:rsid w:val="00F21D63"/>
    <w:rsid w:val="00F5580B"/>
    <w:rsid w:val="00FB736B"/>
    <w:rsid w:val="00FC2649"/>
    <w:rsid w:val="00FD1635"/>
    <w:rsid w:val="00FD1FBB"/>
    <w:rsid w:val="00FF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46318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1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213"/>
  </w:style>
  <w:style w:type="paragraph" w:styleId="Stopka">
    <w:name w:val="footer"/>
    <w:basedOn w:val="Normalny"/>
    <w:link w:val="StopkaZnak"/>
    <w:uiPriority w:val="99"/>
    <w:unhideWhenUsed/>
    <w:rsid w:val="00D6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213"/>
  </w:style>
  <w:style w:type="character" w:styleId="Odwoaniedokomentarza">
    <w:name w:val="annotation reference"/>
    <w:basedOn w:val="Domylnaczcionkaakapitu"/>
    <w:uiPriority w:val="99"/>
    <w:semiHidden/>
    <w:unhideWhenUsed/>
    <w:rsid w:val="00386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C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CC9"/>
    <w:rPr>
      <w:b/>
      <w:bCs/>
    </w:rPr>
  </w:style>
  <w:style w:type="paragraph" w:styleId="Akapitzlist">
    <w:name w:val="List Paragraph"/>
    <w:basedOn w:val="Normalny"/>
    <w:uiPriority w:val="34"/>
    <w:qFormat/>
    <w:rsid w:val="00D63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6318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1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213"/>
  </w:style>
  <w:style w:type="paragraph" w:styleId="Stopka">
    <w:name w:val="footer"/>
    <w:basedOn w:val="Normalny"/>
    <w:link w:val="StopkaZnak"/>
    <w:uiPriority w:val="99"/>
    <w:unhideWhenUsed/>
    <w:rsid w:val="00D6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DC7DF-7AA9-4F19-904C-ECE5B582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1455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rskowronski</dc:creator>
  <cp:lastModifiedBy>gaugustowski</cp:lastModifiedBy>
  <cp:revision>22</cp:revision>
  <dcterms:created xsi:type="dcterms:W3CDTF">2019-12-19T13:48:00Z</dcterms:created>
  <dcterms:modified xsi:type="dcterms:W3CDTF">2019-12-23T10:18:00Z</dcterms:modified>
</cp:coreProperties>
</file>