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-778058</wp:posOffset>
            </wp:positionH>
            <wp:positionV relativeFrom="margin">
              <wp:posOffset>-870456</wp:posOffset>
            </wp:positionV>
            <wp:extent cx="7402266" cy="10659851"/>
            <wp:effectExtent l="19050" t="0" r="8184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Załącznik nr </w:t>
      </w:r>
      <w:r w:rsidR="00C35390">
        <w:rPr>
          <w:rFonts w:ascii="Arial" w:hAnsi="Arial" w:cs="Arial"/>
          <w:b/>
          <w:color w:val="FFFFFF" w:themeColor="background1"/>
          <w:sz w:val="20"/>
          <w:szCs w:val="20"/>
        </w:rPr>
        <w:t>7</w:t>
      </w:r>
      <w:r w:rsidR="006C4F76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0F16AF" w:rsidRPr="005E5354" w:rsidRDefault="005E5354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Pr="004B6F06">
        <w:rPr>
          <w:rFonts w:ascii="Arial" w:hAnsi="Arial" w:cs="Arial"/>
          <w:b/>
          <w:color w:val="FFFFFF" w:themeColor="background1"/>
          <w:sz w:val="20"/>
          <w:szCs w:val="24"/>
        </w:rPr>
        <w:t>5 Zrównoważony transport</w:t>
      </w:r>
    </w:p>
    <w:p w:rsidR="005E5354" w:rsidRPr="004B6F06" w:rsidRDefault="000F16AF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5E5354" w:rsidRPr="004B6F06">
        <w:rPr>
          <w:rFonts w:ascii="Arial" w:hAnsi="Arial" w:cs="Arial"/>
          <w:b/>
          <w:color w:val="FFFFFF" w:themeColor="background1"/>
          <w:sz w:val="20"/>
          <w:szCs w:val="24"/>
        </w:rPr>
        <w:t>5.2 Budowa i przebudowa dróg lokalnych (gminnych i powiatowych) w ramach Strategii ZIT dla Szczeci</w:t>
      </w:r>
      <w:r w:rsidR="005E5354">
        <w:rPr>
          <w:rFonts w:ascii="Arial" w:hAnsi="Arial" w:cs="Arial"/>
          <w:b/>
          <w:color w:val="FFFFFF" w:themeColor="background1"/>
          <w:sz w:val="20"/>
          <w:szCs w:val="24"/>
        </w:rPr>
        <w:t>ńskiego Obszaru Metropolitalnego</w:t>
      </w: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011EB">
        <w:rPr>
          <w:rFonts w:ascii="Arial" w:hAnsi="Arial" w:cs="Arial"/>
          <w:b/>
          <w:color w:val="FFFFFF" w:themeColor="background1"/>
          <w:sz w:val="20"/>
          <w:szCs w:val="20"/>
        </w:rPr>
        <w:t>Nabór nr RPZP.05.02.00-IZ.00-32-001/16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86448A" w:rsidRDefault="000F16AF" w:rsidP="002714A5">
      <w:pPr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86448A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="005E5354" w:rsidRPr="0086448A">
        <w:rPr>
          <w:rFonts w:ascii="Arial" w:hAnsi="Arial" w:cs="Arial"/>
          <w:color w:val="FFFFFF" w:themeColor="background1"/>
          <w:sz w:val="20"/>
          <w:szCs w:val="20"/>
        </w:rPr>
        <w:t>, maj 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0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lastRenderedPageBreak/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D32939" w:rsidRPr="00D32939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D32939" w:rsidRPr="00D32939">
        <w:rPr>
          <w:rFonts w:ascii="Arial" w:hAnsi="Arial" w:cs="Arial"/>
          <w:b/>
        </w:rPr>
        <w:fldChar w:fldCharType="separate"/>
      </w:r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4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5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8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D32939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A2262C">
          <w:rPr>
            <w:rFonts w:ascii="Arial" w:hAnsi="Arial" w:cs="Arial"/>
            <w:noProof/>
            <w:webHidden/>
          </w:rPr>
          <w:t>12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D32939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1" w:name="bookmark12"/>
      <w:bookmarkEnd w:id="0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2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3" w:name="bookmark13"/>
      <w:bookmarkEnd w:id="1"/>
      <w:bookmarkEnd w:id="2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</w:t>
      </w:r>
      <w:r w:rsidR="006427AB">
        <w:rPr>
          <w:color w:val="000000"/>
          <w:sz w:val="20"/>
          <w:szCs w:val="20"/>
        </w:rPr>
        <w:t>t</w:t>
      </w:r>
      <w:r w:rsidR="00377C5E">
        <w:rPr>
          <w:color w:val="000000"/>
          <w:sz w:val="20"/>
          <w:szCs w:val="20"/>
        </w:rPr>
        <w:t xml:space="preserve">ekst </w:t>
      </w:r>
      <w:r w:rsidR="006427AB">
        <w:rPr>
          <w:color w:val="000000"/>
          <w:sz w:val="20"/>
          <w:szCs w:val="20"/>
        </w:rPr>
        <w:t>j</w:t>
      </w:r>
      <w:r w:rsidR="00377C5E">
        <w:rPr>
          <w:color w:val="000000"/>
          <w:sz w:val="20"/>
          <w:szCs w:val="20"/>
        </w:rPr>
        <w:t>edn.</w:t>
      </w:r>
      <w:r w:rsidR="00744795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Dz.U</w:t>
      </w:r>
      <w:proofErr w:type="spellEnd"/>
      <w:r>
        <w:rPr>
          <w:color w:val="000000"/>
          <w:sz w:val="20"/>
          <w:szCs w:val="20"/>
        </w:rPr>
        <w:t>. z 201</w:t>
      </w:r>
      <w:r w:rsidR="00E5780F">
        <w:rPr>
          <w:color w:val="000000"/>
          <w:sz w:val="20"/>
          <w:szCs w:val="20"/>
        </w:rPr>
        <w:t>6</w:t>
      </w:r>
      <w:r w:rsidR="006427AB">
        <w:rPr>
          <w:color w:val="000000"/>
          <w:sz w:val="20"/>
          <w:szCs w:val="20"/>
        </w:rPr>
        <w:t xml:space="preserve"> </w:t>
      </w:r>
      <w:r w:rsidR="00E5780F">
        <w:rPr>
          <w:color w:val="000000"/>
          <w:sz w:val="20"/>
          <w:szCs w:val="20"/>
        </w:rPr>
        <w:t xml:space="preserve">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="006427AB">
        <w:rPr>
          <w:color w:val="000000"/>
          <w:sz w:val="20"/>
          <w:szCs w:val="20"/>
        </w:rPr>
        <w:t>,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4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ustawa z dnia 11 lipca 2014 r. o zasadach realizacji programów w zakresie polityki spójności finansowanych w perspektywie finansowej 2014-2020 (tekst jedn. </w:t>
      </w:r>
      <w:proofErr w:type="spellStart"/>
      <w:r w:rsidRPr="00CE47DD">
        <w:rPr>
          <w:rFonts w:ascii="Arial" w:eastAsia="Times New Roman" w:hAnsi="Arial" w:cs="Arial"/>
          <w:sz w:val="20"/>
          <w:szCs w:val="20"/>
        </w:rPr>
        <w:t>Dz.U</w:t>
      </w:r>
      <w:proofErr w:type="spellEnd"/>
      <w:r w:rsidRPr="00CE47DD">
        <w:rPr>
          <w:rFonts w:ascii="Arial" w:eastAsia="Times New Roman" w:hAnsi="Arial" w:cs="Arial"/>
          <w:sz w:val="20"/>
          <w:szCs w:val="20"/>
        </w:rPr>
        <w:t>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5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5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6507066"/>
      <w:bookmarkStart w:id="7" w:name="bookmark14"/>
      <w:bookmarkEnd w:id="3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6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8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8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</w:t>
      </w:r>
      <w:r w:rsidR="001E569F">
        <w:rPr>
          <w:rFonts w:ascii="Arial" w:hAnsi="Arial" w:cs="Arial"/>
          <w:color w:val="000000"/>
          <w:sz w:val="20"/>
          <w:szCs w:val="20"/>
        </w:rPr>
        <w:t xml:space="preserve">tekst jedn. </w:t>
      </w:r>
      <w:proofErr w:type="spellStart"/>
      <w:r w:rsidR="00CE791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CE7916" w:rsidRPr="009623ED">
        <w:rPr>
          <w:rFonts w:ascii="Arial" w:hAnsi="Arial" w:cs="Arial"/>
          <w:color w:val="000000"/>
          <w:sz w:val="20"/>
          <w:szCs w:val="20"/>
        </w:rPr>
        <w:t>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r w:rsidR="00F8105C" w:rsidRPr="003D5677">
        <w:rPr>
          <w:rFonts w:ascii="Arial" w:hAnsi="Arial" w:cs="Arial"/>
          <w:sz w:val="20"/>
          <w:szCs w:val="20"/>
        </w:rPr>
        <w:t>t</w:t>
      </w:r>
      <w:r w:rsidR="001E569F">
        <w:rPr>
          <w:rFonts w:ascii="Arial" w:hAnsi="Arial" w:cs="Arial"/>
          <w:sz w:val="20"/>
          <w:szCs w:val="20"/>
        </w:rPr>
        <w:t xml:space="preserve">ekst </w:t>
      </w:r>
      <w:r w:rsidR="00F8105C" w:rsidRPr="003D5677">
        <w:rPr>
          <w:rFonts w:ascii="Arial" w:hAnsi="Arial" w:cs="Arial"/>
          <w:sz w:val="20"/>
          <w:szCs w:val="20"/>
        </w:rPr>
        <w:t>j</w:t>
      </w:r>
      <w:r w:rsidR="001E569F">
        <w:rPr>
          <w:rFonts w:ascii="Arial" w:hAnsi="Arial" w:cs="Arial"/>
          <w:sz w:val="20"/>
          <w:szCs w:val="20"/>
        </w:rPr>
        <w:t>edn</w:t>
      </w:r>
      <w:r w:rsidR="00F8105C" w:rsidRPr="003D567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Dz.U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</w:t>
      </w:r>
      <w:r w:rsidR="001E569F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</w:t>
      </w:r>
      <w:r w:rsidR="007B118B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</w:t>
      </w:r>
      <w:r w:rsidR="001E569F">
        <w:rPr>
          <w:rFonts w:ascii="Arial" w:hAnsi="Arial" w:cs="Arial"/>
          <w:color w:val="000000"/>
          <w:sz w:val="20"/>
          <w:szCs w:val="20"/>
        </w:rPr>
        <w:t>,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poz. 2193);</w:t>
      </w:r>
    </w:p>
    <w:bookmarkEnd w:id="7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</w:t>
      </w:r>
      <w:r w:rsidR="00CE7916" w:rsidRPr="00B429D9">
        <w:rPr>
          <w:rFonts w:ascii="Arial" w:hAnsi="Arial" w:cs="Arial"/>
          <w:color w:val="000000"/>
          <w:sz w:val="20"/>
          <w:szCs w:val="20"/>
        </w:rPr>
        <w:lastRenderedPageBreak/>
        <w:t xml:space="preserve">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</w:t>
      </w:r>
      <w:r w:rsidR="001E569F">
        <w:rPr>
          <w:rFonts w:ascii="Arial" w:hAnsi="Arial" w:cs="Arial"/>
          <w:color w:val="000000"/>
          <w:sz w:val="20"/>
          <w:szCs w:val="20"/>
        </w:rPr>
        <w:t>z Ministerstwo Infrastruktury i </w:t>
      </w:r>
      <w:r>
        <w:rPr>
          <w:rFonts w:ascii="Arial" w:hAnsi="Arial" w:cs="Arial"/>
          <w:color w:val="000000"/>
          <w:sz w:val="20"/>
          <w:szCs w:val="20"/>
        </w:rPr>
        <w:t>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9" w:name="_Toc446507068"/>
      <w:r w:rsidRPr="00B74E9A">
        <w:rPr>
          <w:rFonts w:ascii="Arial" w:hAnsi="Arial" w:cs="Arial"/>
          <w:bCs w:val="0"/>
          <w:color w:val="auto"/>
          <w:sz w:val="20"/>
        </w:rPr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9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0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0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1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proofErr w:type="spellStart"/>
      <w:r w:rsidR="00C252EB" w:rsidRPr="009623ED">
        <w:rPr>
          <w:rFonts w:ascii="Arial" w:hAnsi="Arial" w:cs="Arial"/>
          <w:sz w:val="20"/>
          <w:szCs w:val="20"/>
        </w:rPr>
        <w:t>kwalifikowalność</w:t>
      </w:r>
      <w:proofErr w:type="spellEnd"/>
      <w:r w:rsidR="00C252EB" w:rsidRPr="009623ED">
        <w:rPr>
          <w:rFonts w:ascii="Arial" w:hAnsi="Arial" w:cs="Arial"/>
          <w:sz w:val="20"/>
          <w:szCs w:val="20"/>
        </w:rPr>
        <w:t xml:space="preserve">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2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 xml:space="preserve">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3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3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>projekt</w:t>
      </w:r>
      <w:bookmarkStart w:id="14" w:name="_GoBack"/>
      <w:bookmarkEnd w:id="14"/>
      <w:r w:rsidR="00041B52">
        <w:rPr>
          <w:rFonts w:ascii="Arial" w:hAnsi="Arial" w:cs="Arial"/>
          <w:sz w:val="20"/>
          <w:szCs w:val="20"/>
        </w:rPr>
        <w:t xml:space="preserve">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D32939">
      <w:pPr>
        <w:rPr>
          <w:rFonts w:ascii="Arial" w:hAnsi="Arial" w:cs="Arial"/>
          <w:i/>
          <w:sz w:val="20"/>
          <w:szCs w:val="20"/>
        </w:rPr>
      </w:pPr>
      <w:r w:rsidRPr="00D32939"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3539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3539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D329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569F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06C8"/>
    <w:rsid w:val="002714A5"/>
    <w:rsid w:val="002A4E9C"/>
    <w:rsid w:val="002B0449"/>
    <w:rsid w:val="002C57F2"/>
    <w:rsid w:val="002C6C19"/>
    <w:rsid w:val="002D0F29"/>
    <w:rsid w:val="002D4FF6"/>
    <w:rsid w:val="002E30D8"/>
    <w:rsid w:val="002F3290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77C5E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E5354"/>
    <w:rsid w:val="005F0B74"/>
    <w:rsid w:val="00602545"/>
    <w:rsid w:val="006140DB"/>
    <w:rsid w:val="00617FAA"/>
    <w:rsid w:val="00627290"/>
    <w:rsid w:val="00632D31"/>
    <w:rsid w:val="006345A3"/>
    <w:rsid w:val="00640BC5"/>
    <w:rsid w:val="006411BD"/>
    <w:rsid w:val="006427AB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4F7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44795"/>
    <w:rsid w:val="00752067"/>
    <w:rsid w:val="00765D0C"/>
    <w:rsid w:val="0077061C"/>
    <w:rsid w:val="00780EE7"/>
    <w:rsid w:val="00784BA2"/>
    <w:rsid w:val="00786CCA"/>
    <w:rsid w:val="007A64FD"/>
    <w:rsid w:val="007B118B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6448A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2262C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35390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2939"/>
    <w:rsid w:val="00D34D49"/>
    <w:rsid w:val="00D4101E"/>
    <w:rsid w:val="00D70F86"/>
    <w:rsid w:val="00D7158F"/>
    <w:rsid w:val="00D745C3"/>
    <w:rsid w:val="00DA6F03"/>
    <w:rsid w:val="00DB29D3"/>
    <w:rsid w:val="00DB3D1B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B7EC2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EC2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C3236-BACB-4DF7-9B55-C424EF51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4576</Words>
  <Characters>27460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agierlik</cp:lastModifiedBy>
  <cp:revision>2</cp:revision>
  <cp:lastPrinted>2017-05-04T09:12:00Z</cp:lastPrinted>
  <dcterms:created xsi:type="dcterms:W3CDTF">2017-05-19T06:52:00Z</dcterms:created>
  <dcterms:modified xsi:type="dcterms:W3CDTF">2017-05-19T06:52:00Z</dcterms:modified>
</cp:coreProperties>
</file>