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31" w:rsidRPr="00066C6C" w:rsidRDefault="003B6A31" w:rsidP="005B76F9">
      <w:pPr>
        <w:spacing w:after="0" w:line="240" w:lineRule="auto"/>
        <w:jc w:val="center"/>
        <w:rPr>
          <w:rFonts w:cs="Arial"/>
          <w:b/>
          <w:color w:val="333399"/>
          <w:sz w:val="28"/>
          <w:szCs w:val="28"/>
          <w:lang w:eastAsia="pl-PL"/>
        </w:rPr>
      </w:pPr>
    </w:p>
    <w:p w:rsidR="003B6A31" w:rsidRPr="00066C6C" w:rsidRDefault="00007A0F" w:rsidP="005B76F9">
      <w:pPr>
        <w:spacing w:after="0" w:line="240" w:lineRule="auto"/>
        <w:jc w:val="center"/>
        <w:rPr>
          <w:rFonts w:cs="Arial"/>
          <w:b/>
          <w:color w:val="333399"/>
          <w:sz w:val="28"/>
          <w:szCs w:val="28"/>
          <w:lang w:eastAsia="pl-PL"/>
        </w:rPr>
      </w:pPr>
      <w:r w:rsidRPr="00007A0F">
        <w:rPr>
          <w:rFonts w:cs="Arial"/>
          <w:b/>
          <w:noProof/>
          <w:color w:val="333399"/>
          <w:sz w:val="28"/>
          <w:szCs w:val="28"/>
          <w:lang w:eastAsia="pl-PL"/>
        </w:rPr>
        <w:drawing>
          <wp:anchor distT="0" distB="0" distL="114300" distR="114300" simplePos="0" relativeHeight="251659264" behindDoc="0" locked="0" layoutInCell="1" allowOverlap="1">
            <wp:simplePos x="0" y="0"/>
            <wp:positionH relativeFrom="column">
              <wp:posOffset>48285</wp:posOffset>
            </wp:positionH>
            <wp:positionV relativeFrom="paragraph">
              <wp:posOffset>-209880</wp:posOffset>
            </wp:positionV>
            <wp:extent cx="5743118" cy="658368"/>
            <wp:effectExtent l="19050" t="0" r="9525" b="0"/>
            <wp:wrapTopAndBottom/>
            <wp:docPr id="2"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7" cstate="print"/>
                    <a:srcRect/>
                    <a:stretch>
                      <a:fillRect/>
                    </a:stretch>
                  </pic:blipFill>
                  <pic:spPr bwMode="auto">
                    <a:xfrm>
                      <a:off x="0" y="0"/>
                      <a:ext cx="5743575" cy="657860"/>
                    </a:xfrm>
                    <a:prstGeom prst="rect">
                      <a:avLst/>
                    </a:prstGeom>
                    <a:noFill/>
                    <a:ln w="9525">
                      <a:noFill/>
                      <a:miter lim="800000"/>
                      <a:headEnd/>
                      <a:tailEnd/>
                    </a:ln>
                  </pic:spPr>
                </pic:pic>
              </a:graphicData>
            </a:graphic>
          </wp:anchor>
        </w:drawing>
      </w:r>
    </w:p>
    <w:p w:rsidR="00A426DB" w:rsidRPr="00066C6C" w:rsidRDefault="00A426DB" w:rsidP="00007A0F">
      <w:pPr>
        <w:spacing w:after="0" w:line="240" w:lineRule="auto"/>
        <w:rPr>
          <w:rFonts w:cs="Arial"/>
          <w:b/>
          <w:color w:val="333399"/>
          <w:sz w:val="28"/>
          <w:szCs w:val="28"/>
          <w:lang w:eastAsia="pl-PL"/>
        </w:rPr>
      </w:pPr>
    </w:p>
    <w:p w:rsidR="005B76F9" w:rsidRPr="00066C6C" w:rsidRDefault="005B76F9" w:rsidP="00506612">
      <w:pPr>
        <w:pStyle w:val="Nagwek"/>
        <w:jc w:val="center"/>
        <w:rPr>
          <w:rFonts w:eastAsiaTheme="minorEastAsia"/>
          <w:b/>
          <w:lang w:eastAsia="pl-PL"/>
        </w:rPr>
      </w:pPr>
      <w:r w:rsidRPr="00066C6C">
        <w:rPr>
          <w:rFonts w:eastAsiaTheme="minorEastAsia"/>
          <w:b/>
          <w:sz w:val="24"/>
          <w:lang w:eastAsia="pl-PL"/>
        </w:rPr>
        <w:t xml:space="preserve">Metryki wskaźników </w:t>
      </w:r>
      <w:r w:rsidR="00066C6C" w:rsidRPr="00066C6C">
        <w:rPr>
          <w:rFonts w:eastAsiaTheme="minorEastAsia"/>
          <w:b/>
          <w:sz w:val="24"/>
          <w:lang w:eastAsia="pl-PL"/>
        </w:rPr>
        <w:t xml:space="preserve">dla </w:t>
      </w:r>
      <w:r w:rsidRPr="00066C6C">
        <w:rPr>
          <w:rFonts w:eastAsiaTheme="minorEastAsia"/>
          <w:b/>
          <w:sz w:val="24"/>
          <w:lang w:eastAsia="pl-PL"/>
        </w:rPr>
        <w:t xml:space="preserve">działania </w:t>
      </w:r>
      <w:r w:rsidR="0055740D">
        <w:rPr>
          <w:rFonts w:eastAsiaTheme="minorEastAsia"/>
          <w:b/>
          <w:sz w:val="24"/>
          <w:lang w:eastAsia="pl-PL"/>
        </w:rPr>
        <w:t>2</w:t>
      </w:r>
      <w:r w:rsidRPr="00066C6C">
        <w:rPr>
          <w:rFonts w:eastAsiaTheme="minorEastAsia"/>
          <w:b/>
          <w:sz w:val="24"/>
          <w:lang w:eastAsia="pl-PL"/>
        </w:rPr>
        <w:t>.</w:t>
      </w:r>
      <w:r w:rsidR="00823AD7">
        <w:rPr>
          <w:rFonts w:eastAsiaTheme="minorEastAsia"/>
          <w:b/>
          <w:sz w:val="24"/>
          <w:lang w:eastAsia="pl-PL"/>
        </w:rPr>
        <w:t>1</w:t>
      </w:r>
      <w:r w:rsidR="0055740D">
        <w:rPr>
          <w:rFonts w:eastAsiaTheme="minorEastAsia"/>
          <w:b/>
          <w:sz w:val="24"/>
          <w:lang w:eastAsia="pl-PL"/>
        </w:rPr>
        <w:t>3</w:t>
      </w:r>
      <w:r w:rsidRPr="00066C6C">
        <w:rPr>
          <w:rFonts w:eastAsiaTheme="minorEastAsia"/>
          <w:b/>
          <w:sz w:val="24"/>
          <w:lang w:eastAsia="pl-PL"/>
        </w:rPr>
        <w:t xml:space="preserve"> </w:t>
      </w:r>
      <w:r w:rsidR="0055740D">
        <w:rPr>
          <w:rFonts w:eastAsiaTheme="minorEastAsia"/>
          <w:b/>
          <w:sz w:val="24"/>
          <w:lang w:eastAsia="pl-PL"/>
        </w:rPr>
        <w:t>Modernizacja energetyczna obiektów użyteczności publicznej samorządu województwa</w:t>
      </w:r>
    </w:p>
    <w:p w:rsidR="00C965A2" w:rsidRPr="00066C6C" w:rsidRDefault="00C965A2">
      <w:pPr>
        <w:rPr>
          <w:rFonts w:cs="Arial"/>
        </w:rPr>
      </w:pPr>
    </w:p>
    <w:p w:rsidR="007611FC" w:rsidRDefault="007611FC" w:rsidP="007611FC">
      <w:pPr>
        <w:rPr>
          <w:rFonts w:cs="Arial"/>
        </w:rPr>
      </w:pPr>
      <w:r w:rsidRPr="00066C6C">
        <w:rPr>
          <w:b/>
          <w:sz w:val="24"/>
        </w:rPr>
        <w:t>Wskaźniki produktu:</w:t>
      </w:r>
      <w:r w:rsidRPr="00066C6C">
        <w:rPr>
          <w:rFonts w:cs="Arial"/>
        </w:rPr>
        <w:t xml:space="preserve"> </w:t>
      </w:r>
      <w:bookmarkStart w:id="0" w:name="_GoBack"/>
      <w:bookmarkEnd w:id="0"/>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b/>
                <w:color w:val="333399"/>
                <w:sz w:val="18"/>
                <w:szCs w:val="18"/>
                <w:lang w:eastAsia="pl-PL"/>
              </w:rPr>
            </w:pPr>
            <w:r w:rsidRPr="00066C6C">
              <w:rPr>
                <w:rFonts w:cs="Arial"/>
                <w:b/>
                <w:color w:val="333399"/>
                <w:sz w:val="18"/>
                <w:szCs w:val="18"/>
                <w:lang w:eastAsia="pl-PL"/>
              </w:rPr>
              <w:t>Nazwa wskaźnika</w:t>
            </w:r>
          </w:p>
        </w:tc>
        <w:tc>
          <w:tcPr>
            <w:tcW w:w="6626" w:type="dxa"/>
            <w:shd w:val="pct5" w:color="auto" w:fill="auto"/>
            <w:vAlign w:val="center"/>
          </w:tcPr>
          <w:p w:rsidR="006957F9" w:rsidRPr="00066C6C" w:rsidRDefault="006957F9" w:rsidP="007F3917">
            <w:pPr>
              <w:spacing w:after="0" w:line="240" w:lineRule="auto"/>
              <w:rPr>
                <w:rFonts w:cs="Arial"/>
                <w:b/>
                <w:color w:val="333399"/>
                <w:sz w:val="18"/>
                <w:szCs w:val="18"/>
                <w:lang w:eastAsia="pl-PL"/>
              </w:rPr>
            </w:pPr>
            <w:r w:rsidRPr="007611FC">
              <w:rPr>
                <w:rFonts w:cs="Arial"/>
                <w:b/>
                <w:color w:val="333399"/>
                <w:sz w:val="18"/>
                <w:szCs w:val="18"/>
                <w:lang w:eastAsia="pl-PL"/>
              </w:rPr>
              <w:t>Liczba zmodernizowanych energetycznie budynków [szt.],</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Definicja wskaźnika</w:t>
            </w:r>
          </w:p>
        </w:tc>
        <w:tc>
          <w:tcPr>
            <w:tcW w:w="6626" w:type="dxa"/>
            <w:shd w:val="pct5" w:color="auto" w:fill="auto"/>
            <w:vAlign w:val="center"/>
          </w:tcPr>
          <w:p w:rsidR="006957F9" w:rsidRPr="007611FC" w:rsidRDefault="006957F9" w:rsidP="007F3917">
            <w:pPr>
              <w:autoSpaceDE w:val="0"/>
              <w:autoSpaceDN w:val="0"/>
              <w:adjustRightInd w:val="0"/>
              <w:spacing w:after="0" w:line="240" w:lineRule="auto"/>
              <w:jc w:val="both"/>
              <w:rPr>
                <w:rFonts w:cs="Arial"/>
                <w:i/>
                <w:color w:val="333399"/>
                <w:sz w:val="18"/>
                <w:szCs w:val="18"/>
                <w:lang w:eastAsia="pl-PL"/>
              </w:rPr>
            </w:pPr>
            <w:r w:rsidRPr="007611FC">
              <w:rPr>
                <w:rFonts w:cs="Arial"/>
                <w:i/>
                <w:color w:val="333399"/>
                <w:sz w:val="18"/>
                <w:szCs w:val="18"/>
                <w:lang w:eastAsia="pl-PL"/>
              </w:rPr>
              <w:t>Wskaźnik mierzy liczbę zmodernizowanych energetycznie budynków w wyniku realizacji projektu.</w:t>
            </w:r>
          </w:p>
          <w:p w:rsidR="006957F9" w:rsidRDefault="006957F9" w:rsidP="007F3917">
            <w:pPr>
              <w:autoSpaceDE w:val="0"/>
              <w:autoSpaceDN w:val="0"/>
              <w:adjustRightInd w:val="0"/>
              <w:spacing w:after="0" w:line="240" w:lineRule="auto"/>
              <w:jc w:val="both"/>
              <w:rPr>
                <w:rFonts w:cs="Arial"/>
                <w:i/>
                <w:color w:val="333399"/>
                <w:sz w:val="18"/>
                <w:szCs w:val="18"/>
                <w:lang w:eastAsia="pl-PL"/>
              </w:rPr>
            </w:pPr>
            <w:r w:rsidRPr="007611FC">
              <w:rPr>
                <w:rFonts w:cs="Arial"/>
                <w:i/>
                <w:color w:val="333399"/>
                <w:sz w:val="18"/>
                <w:szCs w:val="18"/>
                <w:lang w:eastAsia="pl-PL"/>
              </w:rPr>
              <w:t>Modernizacja –</w:t>
            </w:r>
            <w:r>
              <w:rPr>
                <w:rFonts w:cs="Arial"/>
                <w:i/>
                <w:color w:val="333399"/>
                <w:sz w:val="18"/>
                <w:szCs w:val="18"/>
                <w:lang w:eastAsia="pl-PL"/>
              </w:rPr>
              <w:t xml:space="preserve"> </w:t>
            </w:r>
            <w:r w:rsidRPr="007611FC">
              <w:rPr>
                <w:rFonts w:cs="Arial"/>
                <w:i/>
                <w:color w:val="333399"/>
                <w:sz w:val="18"/>
                <w:szCs w:val="18"/>
                <w:lang w:eastAsia="pl-PL"/>
              </w:rPr>
              <w:t>obejmuje  przebudowę,  remont  oraz  rozbudowę  budynków  w  celu  dokonania modernizacji urządzeń energetycznych.</w:t>
            </w:r>
          </w:p>
          <w:p w:rsidR="006957F9" w:rsidRPr="007611FC" w:rsidRDefault="006957F9" w:rsidP="007F3917">
            <w:pPr>
              <w:autoSpaceDE w:val="0"/>
              <w:autoSpaceDN w:val="0"/>
              <w:adjustRightInd w:val="0"/>
              <w:spacing w:after="0" w:line="240" w:lineRule="auto"/>
              <w:jc w:val="both"/>
              <w:rPr>
                <w:rFonts w:cs="Arial"/>
                <w:i/>
                <w:color w:val="333399"/>
                <w:sz w:val="18"/>
                <w:szCs w:val="18"/>
                <w:lang w:eastAsia="pl-PL"/>
              </w:rPr>
            </w:pPr>
            <w:r w:rsidRPr="007611FC">
              <w:rPr>
                <w:rFonts w:cs="Arial"/>
                <w:i/>
                <w:color w:val="333399"/>
                <w:sz w:val="18"/>
                <w:szCs w:val="18"/>
                <w:lang w:eastAsia="pl-PL"/>
              </w:rPr>
              <w:t>Przebudowa</w:t>
            </w:r>
            <w:r>
              <w:rPr>
                <w:rFonts w:cs="Arial"/>
                <w:i/>
                <w:color w:val="333399"/>
                <w:sz w:val="18"/>
                <w:szCs w:val="18"/>
                <w:lang w:eastAsia="pl-PL"/>
              </w:rPr>
              <w:t xml:space="preserve"> </w:t>
            </w:r>
            <w:r w:rsidRPr="007611FC">
              <w:rPr>
                <w:rFonts w:cs="Arial"/>
                <w:i/>
                <w:color w:val="333399"/>
                <w:sz w:val="18"/>
                <w:szCs w:val="18"/>
                <w:lang w:eastAsia="pl-PL"/>
              </w:rPr>
              <w:t>–</w:t>
            </w:r>
            <w:r>
              <w:rPr>
                <w:rFonts w:cs="Arial"/>
                <w:i/>
                <w:color w:val="333399"/>
                <w:sz w:val="18"/>
                <w:szCs w:val="18"/>
                <w:lang w:eastAsia="pl-PL"/>
              </w:rPr>
              <w:t xml:space="preserve"> </w:t>
            </w:r>
            <w:r w:rsidRPr="007611FC">
              <w:rPr>
                <w:rFonts w:cs="Arial"/>
                <w:i/>
                <w:color w:val="333399"/>
                <w:sz w:val="18"/>
                <w:szCs w:val="18"/>
                <w:lang w:eastAsia="pl-PL"/>
              </w:rPr>
              <w:t>wykonywanie robót budowlanych, w wyniku których następuje zmiana parametrów użytkowych lub technicznych istniejącego obiektu budowlanego, z wyjątkiem charakterystycznych parametrów,  jak:  kubatura,  powierzchnia  zabudowy,  wysokość,  długość,  szerokość  bądź</w:t>
            </w:r>
            <w:r>
              <w:rPr>
                <w:rFonts w:cs="Arial"/>
                <w:i/>
                <w:color w:val="333399"/>
                <w:sz w:val="18"/>
                <w:szCs w:val="18"/>
                <w:lang w:eastAsia="pl-PL"/>
              </w:rPr>
              <w:t xml:space="preserve"> </w:t>
            </w:r>
            <w:r w:rsidRPr="007611FC">
              <w:rPr>
                <w:rFonts w:cs="Arial"/>
                <w:i/>
                <w:color w:val="333399"/>
                <w:sz w:val="18"/>
                <w:szCs w:val="18"/>
                <w:lang w:eastAsia="pl-PL"/>
              </w:rPr>
              <w:t xml:space="preserve">liczba kondygnacji. </w:t>
            </w:r>
          </w:p>
          <w:p w:rsidR="006957F9" w:rsidRDefault="006957F9" w:rsidP="007F3917">
            <w:pPr>
              <w:autoSpaceDE w:val="0"/>
              <w:autoSpaceDN w:val="0"/>
              <w:adjustRightInd w:val="0"/>
              <w:spacing w:after="0" w:line="240" w:lineRule="auto"/>
              <w:jc w:val="both"/>
              <w:rPr>
                <w:rFonts w:cs="Arial"/>
                <w:i/>
                <w:color w:val="333399"/>
                <w:sz w:val="18"/>
                <w:szCs w:val="18"/>
                <w:lang w:eastAsia="pl-PL"/>
              </w:rPr>
            </w:pPr>
            <w:r w:rsidRPr="007611FC">
              <w:rPr>
                <w:rFonts w:cs="Arial"/>
                <w:i/>
                <w:color w:val="333399"/>
                <w:sz w:val="18"/>
                <w:szCs w:val="18"/>
                <w:lang w:eastAsia="pl-PL"/>
              </w:rPr>
              <w:t>Remont –</w:t>
            </w:r>
            <w:r>
              <w:rPr>
                <w:rFonts w:cs="Arial"/>
                <w:i/>
                <w:color w:val="333399"/>
                <w:sz w:val="18"/>
                <w:szCs w:val="18"/>
                <w:lang w:eastAsia="pl-PL"/>
              </w:rPr>
              <w:t xml:space="preserve"> </w:t>
            </w:r>
            <w:r w:rsidRPr="007611FC">
              <w:rPr>
                <w:rFonts w:cs="Arial"/>
                <w:i/>
                <w:color w:val="333399"/>
                <w:sz w:val="18"/>
                <w:szCs w:val="18"/>
                <w:lang w:eastAsia="pl-PL"/>
              </w:rPr>
              <w:t xml:space="preserve">wykonywanie  w  istniejącym  obiekcie  budowlanym  robót  budowlanych  polegających na odtworzeniu stanu pierwotnego, a niestanowiących bieżącej konserwacji, przy czym dopuszcza się stosowanie wyrobów budowlanych innych niż użyto wstanie pierwotnym. </w:t>
            </w:r>
          </w:p>
          <w:p w:rsidR="006957F9" w:rsidRPr="00066C6C" w:rsidRDefault="006957F9" w:rsidP="007F3917">
            <w:pPr>
              <w:autoSpaceDE w:val="0"/>
              <w:autoSpaceDN w:val="0"/>
              <w:adjustRightInd w:val="0"/>
              <w:spacing w:after="0" w:line="240" w:lineRule="auto"/>
              <w:jc w:val="both"/>
              <w:rPr>
                <w:rFonts w:cs="Arial"/>
                <w:i/>
                <w:color w:val="333399"/>
                <w:sz w:val="18"/>
                <w:szCs w:val="18"/>
                <w:lang w:eastAsia="pl-PL"/>
              </w:rPr>
            </w:pPr>
            <w:r w:rsidRPr="007611FC">
              <w:rPr>
                <w:rFonts w:cs="Arial"/>
                <w:i/>
                <w:color w:val="333399"/>
                <w:sz w:val="18"/>
                <w:szCs w:val="18"/>
                <w:lang w:eastAsia="pl-PL"/>
              </w:rPr>
              <w:t>Rozbudowa –</w:t>
            </w:r>
            <w:r>
              <w:rPr>
                <w:rFonts w:cs="Arial"/>
                <w:i/>
                <w:color w:val="333399"/>
                <w:sz w:val="18"/>
                <w:szCs w:val="18"/>
                <w:lang w:eastAsia="pl-PL"/>
              </w:rPr>
              <w:t xml:space="preserve"> </w:t>
            </w:r>
            <w:r w:rsidRPr="007611FC">
              <w:rPr>
                <w:rFonts w:cs="Arial"/>
                <w:i/>
                <w:color w:val="333399"/>
                <w:sz w:val="18"/>
                <w:szCs w:val="18"/>
                <w:lang w:eastAsia="pl-PL"/>
              </w:rPr>
              <w:t>w budownictwie rodzaj budowy, w wyniku którego powstaje nowa część istniejącego już obiektu budowlanego.</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Informacje o dostępnych danych i wskaźnikach występujących w statystyce publicznej</w:t>
            </w:r>
          </w:p>
        </w:tc>
        <w:tc>
          <w:tcPr>
            <w:tcW w:w="662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Pr>
                <w:rFonts w:cs="Arial"/>
                <w:color w:val="333399"/>
                <w:sz w:val="18"/>
                <w:szCs w:val="18"/>
                <w:lang w:eastAsia="pl-PL"/>
              </w:rPr>
              <w:t>Nie dotyczy</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Uwagi interpretacyjne</w:t>
            </w:r>
          </w:p>
        </w:tc>
        <w:tc>
          <w:tcPr>
            <w:tcW w:w="6626" w:type="dxa"/>
            <w:shd w:val="pct5" w:color="auto" w:fill="auto"/>
            <w:vAlign w:val="center"/>
          </w:tcPr>
          <w:p w:rsidR="006957F9" w:rsidRDefault="006957F9" w:rsidP="007F3917">
            <w:pPr>
              <w:spacing w:after="0" w:line="240" w:lineRule="auto"/>
              <w:rPr>
                <w:rFonts w:cs="Arial"/>
                <w:color w:val="333399"/>
                <w:sz w:val="18"/>
                <w:szCs w:val="18"/>
                <w:lang w:eastAsia="pl-PL"/>
              </w:rPr>
            </w:pPr>
            <w:r w:rsidRPr="007611FC">
              <w:rPr>
                <w:rFonts w:cs="Arial"/>
                <w:color w:val="333399"/>
                <w:sz w:val="18"/>
                <w:szCs w:val="18"/>
                <w:lang w:eastAsia="pl-PL"/>
              </w:rPr>
              <w:t>W przypadku zespołów budynków, segmentów, łączników, przewiązek wydzielenie liczby budynków powinno uwzględniać zasady przewidziane w przepisach budowlanych</w:t>
            </w:r>
            <w:r>
              <w:rPr>
                <w:rStyle w:val="Odwoanieprzypisudolnego"/>
                <w:rFonts w:cs="Arial"/>
                <w:color w:val="333399"/>
                <w:sz w:val="18"/>
                <w:szCs w:val="18"/>
                <w:lang w:eastAsia="pl-PL"/>
              </w:rPr>
              <w:footnoteReference w:id="1"/>
            </w:r>
            <w:r w:rsidRPr="007611FC">
              <w:rPr>
                <w:rFonts w:cs="Arial"/>
                <w:color w:val="333399"/>
                <w:sz w:val="18"/>
                <w:szCs w:val="18"/>
                <w:lang w:eastAsia="pl-PL"/>
              </w:rPr>
              <w:t>.</w:t>
            </w:r>
          </w:p>
          <w:p w:rsidR="006957F9" w:rsidRDefault="006957F9" w:rsidP="007F3917">
            <w:pPr>
              <w:spacing w:after="0" w:line="240" w:lineRule="auto"/>
              <w:rPr>
                <w:rFonts w:cs="Arial"/>
                <w:color w:val="333399"/>
                <w:sz w:val="18"/>
                <w:szCs w:val="18"/>
                <w:lang w:eastAsia="pl-PL"/>
              </w:rPr>
            </w:pPr>
          </w:p>
          <w:p w:rsidR="006957F9" w:rsidRPr="00D42625" w:rsidRDefault="006957F9" w:rsidP="007F3917">
            <w:pPr>
              <w:spacing w:after="0" w:line="240" w:lineRule="auto"/>
              <w:rPr>
                <w:rFonts w:cs="Arial"/>
                <w:color w:val="333399"/>
                <w:sz w:val="18"/>
                <w:szCs w:val="18"/>
                <w:u w:val="single"/>
                <w:lang w:eastAsia="pl-PL"/>
              </w:rPr>
            </w:pPr>
            <w:r w:rsidRPr="00D42625">
              <w:rPr>
                <w:rFonts w:cs="Arial"/>
                <w:color w:val="333399"/>
                <w:sz w:val="18"/>
                <w:szCs w:val="18"/>
                <w:u w:val="single"/>
                <w:lang w:eastAsia="pl-PL"/>
              </w:rPr>
              <w:t>Przykład:</w:t>
            </w:r>
          </w:p>
          <w:p w:rsidR="006957F9" w:rsidRPr="007611FC" w:rsidRDefault="006957F9" w:rsidP="007F3917">
            <w:pPr>
              <w:spacing w:after="0" w:line="240" w:lineRule="auto"/>
              <w:rPr>
                <w:rFonts w:cs="Arial"/>
                <w:color w:val="333399"/>
                <w:sz w:val="18"/>
                <w:szCs w:val="18"/>
                <w:lang w:eastAsia="pl-PL"/>
              </w:rPr>
            </w:pPr>
            <w:r w:rsidRPr="007611FC">
              <w:rPr>
                <w:rFonts w:cs="Arial"/>
                <w:color w:val="333399"/>
                <w:sz w:val="18"/>
                <w:szCs w:val="18"/>
                <w:lang w:eastAsia="pl-PL"/>
              </w:rPr>
              <w:t>Projekt dotyczy głębokiej modernizacji energetycznej zespołu szkół w miejscowości A.</w:t>
            </w:r>
          </w:p>
          <w:p w:rsidR="006957F9" w:rsidRPr="007611FC" w:rsidRDefault="006957F9" w:rsidP="007F3917">
            <w:pPr>
              <w:spacing w:after="0" w:line="240" w:lineRule="auto"/>
              <w:rPr>
                <w:rFonts w:cs="Arial"/>
                <w:color w:val="333399"/>
                <w:sz w:val="18"/>
                <w:szCs w:val="18"/>
                <w:lang w:eastAsia="pl-PL"/>
              </w:rPr>
            </w:pPr>
            <w:r w:rsidRPr="007611FC">
              <w:rPr>
                <w:rFonts w:cs="Arial"/>
                <w:color w:val="333399"/>
                <w:sz w:val="18"/>
                <w:szCs w:val="18"/>
                <w:lang w:eastAsia="pl-PL"/>
              </w:rPr>
              <w:t>Budynki „1”, „2” i „3” są połączone łącznikami. Budynek „4” to osobny obiekt.</w:t>
            </w:r>
          </w:p>
          <w:p w:rsidR="006957F9" w:rsidRPr="00066C6C" w:rsidRDefault="006957F9" w:rsidP="007F3917">
            <w:pPr>
              <w:spacing w:after="0" w:line="240" w:lineRule="auto"/>
              <w:rPr>
                <w:rFonts w:cs="Arial"/>
                <w:color w:val="333399"/>
                <w:sz w:val="18"/>
                <w:szCs w:val="18"/>
                <w:lang w:eastAsia="pl-PL"/>
              </w:rPr>
            </w:pPr>
            <w:r w:rsidRPr="007611FC">
              <w:rPr>
                <w:rFonts w:cs="Arial"/>
                <w:color w:val="333399"/>
                <w:sz w:val="18"/>
                <w:szCs w:val="18"/>
                <w:lang w:eastAsia="pl-PL"/>
              </w:rPr>
              <w:t>Wartość wskaźnika wynosi: 2 szt.</w:t>
            </w:r>
          </w:p>
        </w:tc>
      </w:tr>
    </w:tbl>
    <w:p w:rsidR="006353F6" w:rsidRDefault="006353F6" w:rsidP="006353F6">
      <w:pPr>
        <w:rPr>
          <w:rFonts w:cs="Arial"/>
        </w:rPr>
      </w:pP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b/>
                <w:color w:val="333399"/>
                <w:sz w:val="18"/>
                <w:szCs w:val="18"/>
                <w:lang w:eastAsia="pl-PL"/>
              </w:rPr>
            </w:pPr>
            <w:r w:rsidRPr="00066C6C">
              <w:rPr>
                <w:rFonts w:cs="Arial"/>
                <w:b/>
                <w:color w:val="333399"/>
                <w:sz w:val="18"/>
                <w:szCs w:val="18"/>
                <w:lang w:eastAsia="pl-PL"/>
              </w:rPr>
              <w:t>Nazwa wskaźnika</w:t>
            </w:r>
          </w:p>
        </w:tc>
        <w:tc>
          <w:tcPr>
            <w:tcW w:w="6626" w:type="dxa"/>
            <w:shd w:val="pct5" w:color="auto" w:fill="auto"/>
            <w:vAlign w:val="center"/>
          </w:tcPr>
          <w:p w:rsidR="006957F9" w:rsidRPr="00066C6C" w:rsidRDefault="006957F9" w:rsidP="007F3917">
            <w:pPr>
              <w:rPr>
                <w:rFonts w:cs="Arial"/>
                <w:b/>
                <w:color w:val="333399"/>
                <w:sz w:val="18"/>
                <w:szCs w:val="18"/>
                <w:lang w:eastAsia="pl-PL"/>
              </w:rPr>
            </w:pPr>
            <w:r w:rsidRPr="00D42625">
              <w:rPr>
                <w:rFonts w:cs="Arial"/>
                <w:b/>
                <w:color w:val="333399"/>
                <w:sz w:val="18"/>
                <w:szCs w:val="18"/>
                <w:lang w:eastAsia="pl-PL"/>
              </w:rPr>
              <w:t>Dodatkowa zdolność wytwarzania energii elektrycznej ze źródeł odnawialnych</w:t>
            </w:r>
            <w:r>
              <w:rPr>
                <w:rFonts w:cs="Arial"/>
                <w:b/>
                <w:color w:val="333399"/>
                <w:sz w:val="18"/>
                <w:szCs w:val="18"/>
                <w:lang w:eastAsia="pl-PL"/>
              </w:rPr>
              <w:t xml:space="preserve"> </w:t>
            </w:r>
            <w:r w:rsidRPr="00D42625">
              <w:rPr>
                <w:rFonts w:cs="Arial"/>
                <w:b/>
                <w:color w:val="333399"/>
                <w:sz w:val="18"/>
                <w:szCs w:val="18"/>
                <w:lang w:eastAsia="pl-PL"/>
              </w:rPr>
              <w:t>(</w:t>
            </w:r>
            <w:proofErr w:type="spellStart"/>
            <w:r w:rsidRPr="00D42625">
              <w:rPr>
                <w:rFonts w:cs="Arial"/>
                <w:b/>
                <w:color w:val="333399"/>
                <w:sz w:val="18"/>
                <w:szCs w:val="18"/>
                <w:lang w:eastAsia="pl-PL"/>
              </w:rPr>
              <w:t>MWe</w:t>
            </w:r>
            <w:proofErr w:type="spellEnd"/>
            <w:r w:rsidRPr="00D42625">
              <w:rPr>
                <w:rFonts w:cs="Arial"/>
                <w:b/>
                <w:color w:val="333399"/>
                <w:sz w:val="18"/>
                <w:szCs w:val="18"/>
                <w:lang w:eastAsia="pl-PL"/>
              </w:rPr>
              <w:t xml:space="preserve">) </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Definicja wskaźnika</w:t>
            </w:r>
          </w:p>
        </w:tc>
        <w:tc>
          <w:tcPr>
            <w:tcW w:w="6626" w:type="dxa"/>
            <w:shd w:val="pct5" w:color="auto" w:fill="auto"/>
            <w:vAlign w:val="center"/>
          </w:tcPr>
          <w:p w:rsidR="006957F9" w:rsidRPr="00066C6C" w:rsidRDefault="006957F9" w:rsidP="007F3917">
            <w:pPr>
              <w:autoSpaceDE w:val="0"/>
              <w:autoSpaceDN w:val="0"/>
              <w:adjustRightInd w:val="0"/>
              <w:spacing w:before="120" w:after="0" w:line="240" w:lineRule="auto"/>
              <w:jc w:val="both"/>
              <w:rPr>
                <w:rFonts w:cs="Arial"/>
                <w:i/>
                <w:color w:val="333399"/>
                <w:sz w:val="18"/>
                <w:szCs w:val="18"/>
                <w:lang w:eastAsia="pl-PL"/>
              </w:rPr>
            </w:pPr>
            <w:r w:rsidRPr="00066C6C">
              <w:rPr>
                <w:rFonts w:cs="Arial"/>
                <w:i/>
                <w:color w:val="333399"/>
                <w:sz w:val="18"/>
                <w:szCs w:val="18"/>
                <w:lang w:eastAsia="pl-PL"/>
              </w:rPr>
              <w:t xml:space="preserve">Odnawialne źródło energii (zgodnie z ustawą o odnawialnych źródłach energii z dnia 20 lutego 2015 r.) – odnawialne, </w:t>
            </w:r>
            <w:proofErr w:type="spellStart"/>
            <w:r w:rsidRPr="00066C6C">
              <w:rPr>
                <w:rFonts w:cs="Arial"/>
                <w:i/>
                <w:color w:val="333399"/>
                <w:sz w:val="18"/>
                <w:szCs w:val="18"/>
                <w:lang w:eastAsia="pl-PL"/>
              </w:rPr>
              <w:t>niekopalne</w:t>
            </w:r>
            <w:proofErr w:type="spellEnd"/>
            <w:r w:rsidRPr="00066C6C">
              <w:rPr>
                <w:rFonts w:cs="Arial"/>
                <w:i/>
                <w:color w:val="333399"/>
                <w:sz w:val="18"/>
                <w:szCs w:val="18"/>
                <w:lang w:eastAsia="pl-PL"/>
              </w:rPr>
              <w:t xml:space="preserve"> źródła energii obejmujące energię wiatru, energię promieniowania słonecznego, energię </w:t>
            </w:r>
            <w:proofErr w:type="spellStart"/>
            <w:r w:rsidRPr="00066C6C">
              <w:rPr>
                <w:rFonts w:cs="Arial"/>
                <w:i/>
                <w:color w:val="333399"/>
                <w:sz w:val="18"/>
                <w:szCs w:val="18"/>
                <w:lang w:eastAsia="pl-PL"/>
              </w:rPr>
              <w:t>aerotermalną</w:t>
            </w:r>
            <w:proofErr w:type="spellEnd"/>
            <w:r w:rsidRPr="00066C6C">
              <w:rPr>
                <w:rFonts w:cs="Arial"/>
                <w:i/>
                <w:color w:val="333399"/>
                <w:sz w:val="18"/>
                <w:szCs w:val="18"/>
                <w:lang w:eastAsia="pl-PL"/>
              </w:rPr>
              <w:t xml:space="preserve">, energię geotermalną, energię hydrotermalną, hydroenergię, energię fal, prądów i pływów morskich, energię otrzymywaną z biomasy, biogazu, biogazu rolniczego oraz z </w:t>
            </w:r>
            <w:proofErr w:type="spellStart"/>
            <w:r w:rsidRPr="00066C6C">
              <w:rPr>
                <w:rFonts w:cs="Arial"/>
                <w:i/>
                <w:color w:val="333399"/>
                <w:sz w:val="18"/>
                <w:szCs w:val="18"/>
                <w:lang w:eastAsia="pl-PL"/>
              </w:rPr>
              <w:t>biopłynów</w:t>
            </w:r>
            <w:proofErr w:type="spellEnd"/>
            <w:r w:rsidRPr="00066C6C">
              <w:rPr>
                <w:rFonts w:cs="Arial"/>
                <w:i/>
                <w:color w:val="333399"/>
                <w:sz w:val="18"/>
                <w:szCs w:val="18"/>
                <w:lang w:eastAsia="pl-PL"/>
              </w:rPr>
              <w:t>.</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lastRenderedPageBreak/>
              <w:t>Informacje o dostępnych danych i wskaźnikach występujących w statystyce publicznej</w:t>
            </w:r>
          </w:p>
        </w:tc>
        <w:tc>
          <w:tcPr>
            <w:tcW w:w="662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GUS zbiera i udostępnia następujące dane:</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informacje o energii ze źródeł odnawialnych dla całego kraju (coroczna publikacja tematyczna: „Energia ze źródeł odnawialnych”);</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moc zainstalowana w elektrowniach wodnych, wiatrowych i biogazowych (łącznie) w podziale wojewódzkim. (Dane dostępne są w publikacji zbiorczej: „Rocznik statystyczny województw”);</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udział energii ze źródeł odnawialnych w produkcji energii elektrycznej ogółem w % według województw. Dane dostępne są w BDL (kategoria: Rynek materiałowy i paliwowo-energetyczny, grupa: Rynek materiałowy);</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produkcja energii elektrycznej z odnawialnych nośników energii w </w:t>
            </w:r>
            <w:proofErr w:type="spellStart"/>
            <w:r w:rsidRPr="00066C6C">
              <w:rPr>
                <w:rFonts w:cs="Arial"/>
                <w:color w:val="333399"/>
                <w:sz w:val="18"/>
                <w:szCs w:val="18"/>
                <w:lang w:eastAsia="pl-PL"/>
              </w:rPr>
              <w:t>GWh</w:t>
            </w:r>
            <w:proofErr w:type="spellEnd"/>
            <w:r w:rsidRPr="00066C6C">
              <w:rPr>
                <w:rFonts w:cs="Arial"/>
                <w:color w:val="333399"/>
                <w:sz w:val="18"/>
                <w:szCs w:val="18"/>
                <w:lang w:eastAsia="pl-PL"/>
              </w:rPr>
              <w:t xml:space="preserve"> według województw. Dane dostępne są w BDL (kategoria: Rynek materiałowy i paliwowo-energetyczny, grupa: Rynek materiałowy).</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Uwagi interpretacyjne</w:t>
            </w:r>
          </w:p>
        </w:tc>
        <w:tc>
          <w:tcPr>
            <w:tcW w:w="662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Wskaźnik przedstawia o ile bezwzględnie wzrosła zdolność wytwarzania energii </w:t>
            </w:r>
            <w:r>
              <w:rPr>
                <w:rFonts w:cs="Arial"/>
                <w:color w:val="333399"/>
                <w:sz w:val="18"/>
                <w:szCs w:val="18"/>
                <w:lang w:eastAsia="pl-PL"/>
              </w:rPr>
              <w:t xml:space="preserve">elektrycznej </w:t>
            </w:r>
            <w:r w:rsidRPr="00066C6C">
              <w:rPr>
                <w:rFonts w:cs="Arial"/>
                <w:color w:val="333399"/>
                <w:sz w:val="18"/>
                <w:szCs w:val="18"/>
                <w:lang w:eastAsia="pl-PL"/>
              </w:rPr>
              <w:t xml:space="preserve">ze źródeł odnawialnych. </w:t>
            </w:r>
          </w:p>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Wskaźnik dotyczy mocy zainstalowanej energii elektrycznej urządzeń z OZE - wartości znamionowej mocy, przy której urządzenie pracuje prawidłowo i zgodnie z normami lub zaleceniami producenta. Wartość ta zazwyczaj podawana jest na tabliczce znamionowej na obudowie urządzenia razem z innymi parametrami istotnymi dla pracy danego urządzenia, zapisana w dokumentacji projektowej instalacji wytwórczej jako maksymalna możliwa do uzyskania.</w:t>
            </w:r>
          </w:p>
          <w:p w:rsidR="006957F9" w:rsidRPr="00376482" w:rsidRDefault="006957F9" w:rsidP="007F3917">
            <w:pPr>
              <w:spacing w:after="0" w:line="240" w:lineRule="auto"/>
              <w:rPr>
                <w:rFonts w:cs="Arial"/>
                <w:color w:val="333399"/>
                <w:sz w:val="18"/>
                <w:szCs w:val="18"/>
                <w:u w:val="single"/>
                <w:lang w:eastAsia="pl-PL"/>
              </w:rPr>
            </w:pPr>
            <w:r w:rsidRPr="00376482">
              <w:rPr>
                <w:rFonts w:cs="Arial"/>
                <w:color w:val="333399"/>
                <w:sz w:val="18"/>
                <w:szCs w:val="18"/>
                <w:u w:val="single"/>
                <w:lang w:eastAsia="pl-PL"/>
              </w:rPr>
              <w:t>Przykład:</w:t>
            </w:r>
          </w:p>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 xml:space="preserve">W obiekcie, który poddawany jest głębokiej modernizacji energetycznej był zainstalowany zestaw paneli fotowoltaicznych o mocy 3 </w:t>
            </w:r>
            <w:proofErr w:type="spellStart"/>
            <w:r w:rsidRPr="00376482">
              <w:rPr>
                <w:rFonts w:cs="Arial"/>
                <w:color w:val="333399"/>
                <w:sz w:val="18"/>
                <w:szCs w:val="18"/>
                <w:lang w:eastAsia="pl-PL"/>
              </w:rPr>
              <w:t>kW</w:t>
            </w:r>
            <w:proofErr w:type="spellEnd"/>
            <w:r w:rsidRPr="00376482">
              <w:rPr>
                <w:rFonts w:cs="Arial"/>
                <w:color w:val="333399"/>
                <w:sz w:val="18"/>
                <w:szCs w:val="18"/>
                <w:lang w:eastAsia="pl-PL"/>
              </w:rPr>
              <w:t xml:space="preserve">. Projekt przewiduje rozbudowę układu do mocy 10 </w:t>
            </w:r>
            <w:proofErr w:type="spellStart"/>
            <w:r w:rsidRPr="00376482">
              <w:rPr>
                <w:rFonts w:cs="Arial"/>
                <w:color w:val="333399"/>
                <w:sz w:val="18"/>
                <w:szCs w:val="18"/>
                <w:lang w:eastAsia="pl-PL"/>
              </w:rPr>
              <w:t>kW</w:t>
            </w:r>
            <w:proofErr w:type="spellEnd"/>
            <w:r w:rsidRPr="00376482">
              <w:rPr>
                <w:rFonts w:cs="Arial"/>
                <w:color w:val="333399"/>
                <w:sz w:val="18"/>
                <w:szCs w:val="18"/>
                <w:lang w:eastAsia="pl-PL"/>
              </w:rPr>
              <w:t>.</w:t>
            </w:r>
          </w:p>
          <w:p w:rsidR="006957F9" w:rsidRPr="00066C6C"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 xml:space="preserve">Wartość wskaźnika wynosi: 0,007 </w:t>
            </w:r>
            <w:proofErr w:type="spellStart"/>
            <w:r w:rsidRPr="00376482">
              <w:rPr>
                <w:rFonts w:cs="Arial"/>
                <w:color w:val="333399"/>
                <w:sz w:val="18"/>
                <w:szCs w:val="18"/>
                <w:lang w:eastAsia="pl-PL"/>
              </w:rPr>
              <w:t>MWe</w:t>
            </w:r>
            <w:proofErr w:type="spellEnd"/>
            <w:r w:rsidRPr="00376482">
              <w:rPr>
                <w:rFonts w:cs="Arial"/>
                <w:color w:val="333399"/>
                <w:sz w:val="18"/>
                <w:szCs w:val="18"/>
                <w:lang w:eastAsia="pl-PL"/>
              </w:rPr>
              <w:t>.</w:t>
            </w:r>
          </w:p>
        </w:tc>
      </w:tr>
    </w:tbl>
    <w:p w:rsidR="006957F9" w:rsidRDefault="006957F9" w:rsidP="006353F6">
      <w:pPr>
        <w:rPr>
          <w:rFonts w:cs="Arial"/>
        </w:rPr>
      </w:pP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6957F9" w:rsidRPr="00376482" w:rsidTr="007F3917">
        <w:tc>
          <w:tcPr>
            <w:tcW w:w="2416" w:type="dxa"/>
            <w:shd w:val="pct5" w:color="auto" w:fill="auto"/>
            <w:vAlign w:val="center"/>
          </w:tcPr>
          <w:p w:rsidR="006957F9" w:rsidRPr="00376482" w:rsidRDefault="006957F9" w:rsidP="007F3917">
            <w:pPr>
              <w:spacing w:after="0" w:line="240" w:lineRule="auto"/>
              <w:rPr>
                <w:rFonts w:cs="Arial"/>
                <w:b/>
                <w:color w:val="333399"/>
                <w:sz w:val="18"/>
                <w:szCs w:val="18"/>
                <w:lang w:eastAsia="pl-PL"/>
              </w:rPr>
            </w:pPr>
            <w:r w:rsidRPr="00376482">
              <w:rPr>
                <w:rFonts w:cs="Arial"/>
                <w:b/>
                <w:color w:val="333399"/>
                <w:sz w:val="18"/>
                <w:szCs w:val="18"/>
                <w:lang w:eastAsia="pl-PL"/>
              </w:rPr>
              <w:t>Nazwa wskaźnika</w:t>
            </w:r>
          </w:p>
        </w:tc>
        <w:tc>
          <w:tcPr>
            <w:tcW w:w="6626" w:type="dxa"/>
            <w:shd w:val="pct5" w:color="auto" w:fill="auto"/>
            <w:vAlign w:val="center"/>
          </w:tcPr>
          <w:p w:rsidR="006957F9" w:rsidRPr="00376482" w:rsidRDefault="006957F9" w:rsidP="007F3917">
            <w:pPr>
              <w:spacing w:after="0" w:line="240" w:lineRule="auto"/>
              <w:rPr>
                <w:rFonts w:cs="Arial"/>
                <w:b/>
                <w:color w:val="333399"/>
                <w:sz w:val="18"/>
                <w:szCs w:val="18"/>
                <w:lang w:eastAsia="pl-PL"/>
              </w:rPr>
            </w:pPr>
            <w:r w:rsidRPr="00376482">
              <w:rPr>
                <w:rFonts w:cs="Arial"/>
                <w:b/>
                <w:color w:val="333399"/>
                <w:sz w:val="18"/>
                <w:szCs w:val="18"/>
                <w:lang w:eastAsia="pl-PL"/>
              </w:rPr>
              <w:t>Dodatkowa zdolność wytwarzania energii cieplnej ze źródeł odnawialnych (</w:t>
            </w:r>
            <w:proofErr w:type="spellStart"/>
            <w:r w:rsidRPr="00376482">
              <w:rPr>
                <w:rFonts w:cs="Arial"/>
                <w:b/>
                <w:color w:val="333399"/>
                <w:sz w:val="18"/>
                <w:szCs w:val="18"/>
                <w:lang w:eastAsia="pl-PL"/>
              </w:rPr>
              <w:t>MWt</w:t>
            </w:r>
            <w:proofErr w:type="spellEnd"/>
            <w:r w:rsidRPr="00376482">
              <w:rPr>
                <w:rFonts w:cs="Arial"/>
                <w:b/>
                <w:color w:val="333399"/>
                <w:sz w:val="18"/>
                <w:szCs w:val="18"/>
                <w:lang w:eastAsia="pl-PL"/>
              </w:rPr>
              <w:t xml:space="preserve">),  </w:t>
            </w:r>
          </w:p>
        </w:tc>
      </w:tr>
      <w:tr w:rsidR="006957F9" w:rsidRPr="00376482" w:rsidTr="007F3917">
        <w:tc>
          <w:tcPr>
            <w:tcW w:w="2416" w:type="dxa"/>
            <w:shd w:val="pct5" w:color="auto" w:fill="auto"/>
            <w:vAlign w:val="center"/>
          </w:tcPr>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Definicja wskaźnika</w:t>
            </w:r>
          </w:p>
        </w:tc>
        <w:tc>
          <w:tcPr>
            <w:tcW w:w="6626" w:type="dxa"/>
            <w:shd w:val="pct5" w:color="auto" w:fill="auto"/>
            <w:vAlign w:val="center"/>
          </w:tcPr>
          <w:p w:rsidR="006957F9" w:rsidRPr="00376482" w:rsidRDefault="006957F9" w:rsidP="007F3917">
            <w:pPr>
              <w:autoSpaceDE w:val="0"/>
              <w:autoSpaceDN w:val="0"/>
              <w:adjustRightInd w:val="0"/>
              <w:spacing w:before="120" w:after="0" w:line="240" w:lineRule="auto"/>
              <w:jc w:val="both"/>
              <w:rPr>
                <w:rFonts w:cs="Arial"/>
                <w:i/>
                <w:color w:val="333399"/>
                <w:sz w:val="18"/>
                <w:szCs w:val="18"/>
                <w:lang w:eastAsia="pl-PL"/>
              </w:rPr>
            </w:pPr>
            <w:r w:rsidRPr="00376482">
              <w:rPr>
                <w:rFonts w:cs="Arial"/>
                <w:i/>
                <w:color w:val="333399"/>
                <w:sz w:val="18"/>
                <w:szCs w:val="18"/>
                <w:lang w:eastAsia="pl-PL"/>
              </w:rPr>
              <w:t xml:space="preserve">Odnawialne źródło energii (zgodnie z ustawą o odnawialnych źródłach energii z dnia 20 lutego 2015 r.) – odnawialne, </w:t>
            </w:r>
            <w:proofErr w:type="spellStart"/>
            <w:r w:rsidRPr="00376482">
              <w:rPr>
                <w:rFonts w:cs="Arial"/>
                <w:i/>
                <w:color w:val="333399"/>
                <w:sz w:val="18"/>
                <w:szCs w:val="18"/>
                <w:lang w:eastAsia="pl-PL"/>
              </w:rPr>
              <w:t>niekopalne</w:t>
            </w:r>
            <w:proofErr w:type="spellEnd"/>
            <w:r w:rsidRPr="00376482">
              <w:rPr>
                <w:rFonts w:cs="Arial"/>
                <w:i/>
                <w:color w:val="333399"/>
                <w:sz w:val="18"/>
                <w:szCs w:val="18"/>
                <w:lang w:eastAsia="pl-PL"/>
              </w:rPr>
              <w:t xml:space="preserve"> źródła energii obejmujące energię wiatru, energię promieniowania słonecznego, energię </w:t>
            </w:r>
            <w:proofErr w:type="spellStart"/>
            <w:r w:rsidRPr="00376482">
              <w:rPr>
                <w:rFonts w:cs="Arial"/>
                <w:i/>
                <w:color w:val="333399"/>
                <w:sz w:val="18"/>
                <w:szCs w:val="18"/>
                <w:lang w:eastAsia="pl-PL"/>
              </w:rPr>
              <w:t>aerotermalną</w:t>
            </w:r>
            <w:proofErr w:type="spellEnd"/>
            <w:r w:rsidRPr="00376482">
              <w:rPr>
                <w:rFonts w:cs="Arial"/>
                <w:i/>
                <w:color w:val="333399"/>
                <w:sz w:val="18"/>
                <w:szCs w:val="18"/>
                <w:lang w:eastAsia="pl-PL"/>
              </w:rPr>
              <w:t xml:space="preserve">, energię geotermalną, energię hydrotermalną, hydroenergię, energię fal, prądów i pływów morskich, energię otrzymywaną z biomasy, biogazu, biogazu rolniczego oraz z </w:t>
            </w:r>
            <w:proofErr w:type="spellStart"/>
            <w:r w:rsidRPr="00376482">
              <w:rPr>
                <w:rFonts w:cs="Arial"/>
                <w:i/>
                <w:color w:val="333399"/>
                <w:sz w:val="18"/>
                <w:szCs w:val="18"/>
                <w:lang w:eastAsia="pl-PL"/>
              </w:rPr>
              <w:t>biopłynów</w:t>
            </w:r>
            <w:proofErr w:type="spellEnd"/>
            <w:r w:rsidRPr="00376482">
              <w:rPr>
                <w:rFonts w:cs="Arial"/>
                <w:i/>
                <w:color w:val="333399"/>
                <w:sz w:val="18"/>
                <w:szCs w:val="18"/>
                <w:lang w:eastAsia="pl-PL"/>
              </w:rPr>
              <w:t>.</w:t>
            </w:r>
          </w:p>
        </w:tc>
      </w:tr>
      <w:tr w:rsidR="006957F9" w:rsidRPr="00376482" w:rsidTr="007F3917">
        <w:tc>
          <w:tcPr>
            <w:tcW w:w="2416" w:type="dxa"/>
            <w:shd w:val="pct5" w:color="auto" w:fill="auto"/>
            <w:vAlign w:val="center"/>
          </w:tcPr>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Informacje o dostępnych danych i wskaźnikach występujących w statystyce publicznej</w:t>
            </w:r>
          </w:p>
        </w:tc>
        <w:tc>
          <w:tcPr>
            <w:tcW w:w="6626" w:type="dxa"/>
            <w:shd w:val="pct5" w:color="auto" w:fill="auto"/>
            <w:vAlign w:val="center"/>
          </w:tcPr>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GUS zbiera i udostępnia następujące dane:</w:t>
            </w:r>
          </w:p>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informacje o energii ze źródeł odnawialnych dla całego kraju (coroczna publikacja tematyczna: „Energia ze źródeł odnawialnych”);</w:t>
            </w:r>
          </w:p>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moc zainstalowana w elektrowniach wodnych, wiatrowych i biogazowych (łącznie) w podziale wojewódzkim. (Dane dostępne są w publikacji zbiorczej: „Rocznik statystyczny województw”);</w:t>
            </w:r>
          </w:p>
          <w:p w:rsidR="006957F9" w:rsidRPr="00376482" w:rsidRDefault="006957F9" w:rsidP="007F3917">
            <w:pPr>
              <w:spacing w:after="0" w:line="240" w:lineRule="auto"/>
              <w:rPr>
                <w:rFonts w:cs="Arial"/>
                <w:color w:val="333399"/>
                <w:sz w:val="18"/>
                <w:szCs w:val="18"/>
                <w:lang w:eastAsia="pl-PL"/>
              </w:rPr>
            </w:pPr>
          </w:p>
        </w:tc>
      </w:tr>
      <w:tr w:rsidR="006957F9" w:rsidRPr="00376482" w:rsidTr="007F3917">
        <w:tc>
          <w:tcPr>
            <w:tcW w:w="2416" w:type="dxa"/>
            <w:shd w:val="pct5" w:color="auto" w:fill="auto"/>
            <w:vAlign w:val="center"/>
          </w:tcPr>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Uwagi interpretacyjne</w:t>
            </w:r>
          </w:p>
        </w:tc>
        <w:tc>
          <w:tcPr>
            <w:tcW w:w="6626" w:type="dxa"/>
            <w:shd w:val="pct5" w:color="auto" w:fill="auto"/>
            <w:vAlign w:val="center"/>
          </w:tcPr>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 xml:space="preserve">Wskaźnik przedstawia o ile bezwzględnie wzrosła zdolność wytwarzania energii cieplnej ze źródeł odnawialnych. </w:t>
            </w:r>
          </w:p>
          <w:p w:rsidR="006957F9" w:rsidRDefault="006957F9" w:rsidP="007F3917">
            <w:pPr>
              <w:spacing w:after="0" w:line="240" w:lineRule="auto"/>
              <w:rPr>
                <w:rFonts w:cs="Arial"/>
                <w:color w:val="333399"/>
                <w:sz w:val="18"/>
                <w:szCs w:val="18"/>
                <w:lang w:eastAsia="pl-PL"/>
              </w:rPr>
            </w:pPr>
          </w:p>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Wskaźnik dotyczy mocy zainstalowanej energii cieplnej urządzeń z OZE - wartości znamionowej mocy, przy której urządzenie pracuje prawidłowo i zgodnie z normami lub zaleceniami producenta. Wartość ta zazwyczaj podawana jest na tabliczce znamionowej na obudowie urządzenia razem z innymi parametrami istotnymi dla pracy danego urządzenia, zapisana w dokumentacji projektowej instalacji wytwórczej jako maksymalna możliwa do uzyskania.</w:t>
            </w:r>
          </w:p>
          <w:p w:rsidR="006957F9" w:rsidRPr="00376482" w:rsidRDefault="006957F9" w:rsidP="007F3917">
            <w:pPr>
              <w:spacing w:after="0" w:line="240" w:lineRule="auto"/>
              <w:rPr>
                <w:rFonts w:cs="Arial"/>
                <w:color w:val="333399"/>
                <w:sz w:val="18"/>
                <w:szCs w:val="18"/>
                <w:u w:val="single"/>
                <w:lang w:eastAsia="pl-PL"/>
              </w:rPr>
            </w:pPr>
            <w:r w:rsidRPr="00376482">
              <w:rPr>
                <w:rFonts w:cs="Arial"/>
                <w:color w:val="333399"/>
                <w:sz w:val="18"/>
                <w:szCs w:val="18"/>
                <w:u w:val="single"/>
                <w:lang w:eastAsia="pl-PL"/>
              </w:rPr>
              <w:t>Przykład:</w:t>
            </w:r>
          </w:p>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 xml:space="preserve">W obiekcie, który poddawany jest głębokiej modernizacji energetycznej była zainstalowana powietrzna pompa ciepła o mocy 6 </w:t>
            </w:r>
            <w:proofErr w:type="spellStart"/>
            <w:r w:rsidRPr="00376482">
              <w:rPr>
                <w:rFonts w:cs="Arial"/>
                <w:color w:val="333399"/>
                <w:sz w:val="18"/>
                <w:szCs w:val="18"/>
                <w:lang w:eastAsia="pl-PL"/>
              </w:rPr>
              <w:t>kW</w:t>
            </w:r>
            <w:proofErr w:type="spellEnd"/>
            <w:r w:rsidRPr="00376482">
              <w:rPr>
                <w:rFonts w:cs="Arial"/>
                <w:color w:val="333399"/>
                <w:sz w:val="18"/>
                <w:szCs w:val="18"/>
                <w:lang w:eastAsia="pl-PL"/>
              </w:rPr>
              <w:t xml:space="preserve">. Projekt przewiduje rozbudowę układu pompy ciepła do mocy 9 </w:t>
            </w:r>
            <w:proofErr w:type="spellStart"/>
            <w:r w:rsidRPr="00376482">
              <w:rPr>
                <w:rFonts w:cs="Arial"/>
                <w:color w:val="333399"/>
                <w:sz w:val="18"/>
                <w:szCs w:val="18"/>
                <w:lang w:eastAsia="pl-PL"/>
              </w:rPr>
              <w:t>kW</w:t>
            </w:r>
            <w:proofErr w:type="spellEnd"/>
            <w:r w:rsidRPr="00376482">
              <w:rPr>
                <w:rFonts w:cs="Arial"/>
                <w:color w:val="333399"/>
                <w:sz w:val="18"/>
                <w:szCs w:val="18"/>
                <w:lang w:eastAsia="pl-PL"/>
              </w:rPr>
              <w:t xml:space="preserve">. Pompa powietrze-woda ma niski koszt eksploatacji i poza funkcją grzania </w:t>
            </w:r>
            <w:proofErr w:type="spellStart"/>
            <w:r w:rsidRPr="00376482">
              <w:rPr>
                <w:rFonts w:cs="Arial"/>
                <w:color w:val="333399"/>
                <w:sz w:val="18"/>
                <w:szCs w:val="18"/>
                <w:lang w:eastAsia="pl-PL"/>
              </w:rPr>
              <w:t>c.w.u</w:t>
            </w:r>
            <w:proofErr w:type="spellEnd"/>
            <w:r w:rsidRPr="00376482">
              <w:rPr>
                <w:rFonts w:cs="Arial"/>
                <w:color w:val="333399"/>
                <w:sz w:val="18"/>
                <w:szCs w:val="18"/>
                <w:lang w:eastAsia="pl-PL"/>
              </w:rPr>
              <w:t>. ma też funkcję chłodzenia powietrza.</w:t>
            </w:r>
          </w:p>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 xml:space="preserve">Wartość wskaźnika wynosi: 0,003 </w:t>
            </w:r>
            <w:proofErr w:type="spellStart"/>
            <w:r w:rsidRPr="00376482">
              <w:rPr>
                <w:rFonts w:cs="Arial"/>
                <w:color w:val="333399"/>
                <w:sz w:val="18"/>
                <w:szCs w:val="18"/>
                <w:lang w:eastAsia="pl-PL"/>
              </w:rPr>
              <w:t>MWt</w:t>
            </w:r>
            <w:proofErr w:type="spellEnd"/>
            <w:r w:rsidRPr="00376482">
              <w:rPr>
                <w:rFonts w:cs="Arial"/>
                <w:color w:val="333399"/>
                <w:sz w:val="18"/>
                <w:szCs w:val="18"/>
                <w:lang w:eastAsia="pl-PL"/>
              </w:rPr>
              <w:t>.</w:t>
            </w:r>
          </w:p>
          <w:p w:rsidR="006957F9" w:rsidRPr="00376482" w:rsidRDefault="006957F9" w:rsidP="007F3917">
            <w:pPr>
              <w:spacing w:after="0" w:line="240" w:lineRule="auto"/>
              <w:rPr>
                <w:rFonts w:cs="Arial"/>
                <w:color w:val="333399"/>
                <w:sz w:val="18"/>
                <w:szCs w:val="18"/>
                <w:lang w:eastAsia="pl-PL"/>
              </w:rPr>
            </w:pPr>
          </w:p>
        </w:tc>
      </w:tr>
    </w:tbl>
    <w:p w:rsidR="006957F9" w:rsidRDefault="006957F9" w:rsidP="006353F6">
      <w:pPr>
        <w:rPr>
          <w:rFonts w:cs="Arial"/>
        </w:rPr>
      </w:pP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b/>
                <w:color w:val="333399"/>
                <w:sz w:val="18"/>
                <w:szCs w:val="18"/>
                <w:lang w:eastAsia="pl-PL"/>
              </w:rPr>
            </w:pPr>
            <w:r w:rsidRPr="00066C6C">
              <w:rPr>
                <w:rFonts w:cs="Arial"/>
                <w:b/>
                <w:color w:val="333399"/>
                <w:sz w:val="18"/>
                <w:szCs w:val="18"/>
                <w:lang w:eastAsia="pl-PL"/>
              </w:rPr>
              <w:t>Nazwa wskaźnika</w:t>
            </w:r>
          </w:p>
        </w:tc>
        <w:tc>
          <w:tcPr>
            <w:tcW w:w="6626" w:type="dxa"/>
            <w:shd w:val="pct5" w:color="auto" w:fill="auto"/>
            <w:vAlign w:val="center"/>
          </w:tcPr>
          <w:p w:rsidR="006957F9" w:rsidRPr="00066C6C" w:rsidRDefault="006957F9" w:rsidP="007F3917">
            <w:pPr>
              <w:spacing w:after="0" w:line="240" w:lineRule="auto"/>
              <w:rPr>
                <w:rFonts w:cs="Arial"/>
                <w:b/>
                <w:color w:val="333399"/>
                <w:sz w:val="18"/>
                <w:szCs w:val="18"/>
                <w:lang w:eastAsia="pl-PL"/>
              </w:rPr>
            </w:pPr>
            <w:r w:rsidRPr="00066C6C">
              <w:rPr>
                <w:rFonts w:cs="Arial"/>
                <w:b/>
                <w:color w:val="333399"/>
                <w:sz w:val="18"/>
                <w:szCs w:val="18"/>
                <w:lang w:eastAsia="pl-PL"/>
              </w:rPr>
              <w:t>Liczba wybudowanych jednostek wytwarzania energii elektrycznej z OZE [</w:t>
            </w:r>
            <w:r w:rsidRPr="00066C6C">
              <w:rPr>
                <w:rFonts w:cs="Arial"/>
                <w:b/>
                <w:snapToGrid w:val="0"/>
                <w:color w:val="333399"/>
                <w:sz w:val="18"/>
                <w:szCs w:val="18"/>
                <w:lang w:eastAsia="pl-PL"/>
              </w:rPr>
              <w:t>szt.]</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Definicja wskaźnika</w:t>
            </w:r>
          </w:p>
        </w:tc>
        <w:tc>
          <w:tcPr>
            <w:tcW w:w="6626" w:type="dxa"/>
            <w:shd w:val="pct5" w:color="auto" w:fill="auto"/>
            <w:vAlign w:val="center"/>
          </w:tcPr>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t>Jednostka wytwarzania energii elektrycznej obejmuje:</w:t>
            </w:r>
          </w:p>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lastRenderedPageBreak/>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t>w przypadku budynków mieszkalnych i budynków użyteczności publicznej: zespół urządzeń służących do wytwarzania energii elektrycznej z OZE.</w:t>
            </w:r>
          </w:p>
          <w:p w:rsidR="006957F9" w:rsidRPr="00066C6C" w:rsidRDefault="006957F9" w:rsidP="007F3917">
            <w:pPr>
              <w:autoSpaceDE w:val="0"/>
              <w:autoSpaceDN w:val="0"/>
              <w:adjustRightInd w:val="0"/>
              <w:spacing w:before="120" w:after="0" w:line="240" w:lineRule="auto"/>
              <w:jc w:val="both"/>
              <w:rPr>
                <w:rFonts w:cs="Arial"/>
                <w:i/>
                <w:color w:val="333399"/>
                <w:sz w:val="18"/>
                <w:szCs w:val="18"/>
                <w:lang w:eastAsia="pl-PL"/>
              </w:rPr>
            </w:pPr>
            <w:r w:rsidRPr="00066C6C">
              <w:rPr>
                <w:rFonts w:cs="Arial"/>
                <w:i/>
                <w:color w:val="333399"/>
                <w:sz w:val="18"/>
                <w:szCs w:val="18"/>
                <w:lang w:eastAsia="pl-PL"/>
              </w:rPr>
              <w:t xml:space="preserve">Odnawialne źródło energii (zgodnie z ustawą o odnawialnych źródłach energii z dnia 20 lutego 2015 r.) – odnawialne, </w:t>
            </w:r>
            <w:proofErr w:type="spellStart"/>
            <w:r w:rsidRPr="00066C6C">
              <w:rPr>
                <w:rFonts w:cs="Arial"/>
                <w:i/>
                <w:color w:val="333399"/>
                <w:sz w:val="18"/>
                <w:szCs w:val="18"/>
                <w:lang w:eastAsia="pl-PL"/>
              </w:rPr>
              <w:t>niekopalne</w:t>
            </w:r>
            <w:proofErr w:type="spellEnd"/>
            <w:r w:rsidRPr="00066C6C">
              <w:rPr>
                <w:rFonts w:cs="Arial"/>
                <w:i/>
                <w:color w:val="333399"/>
                <w:sz w:val="18"/>
                <w:szCs w:val="18"/>
                <w:lang w:eastAsia="pl-PL"/>
              </w:rPr>
              <w:t xml:space="preserve"> źródła energii obejmujące energię wiatru, energię promieniowania słonecznego, energię </w:t>
            </w:r>
            <w:proofErr w:type="spellStart"/>
            <w:r w:rsidRPr="00066C6C">
              <w:rPr>
                <w:rFonts w:cs="Arial"/>
                <w:i/>
                <w:color w:val="333399"/>
                <w:sz w:val="18"/>
                <w:szCs w:val="18"/>
                <w:lang w:eastAsia="pl-PL"/>
              </w:rPr>
              <w:t>aerotermalną</w:t>
            </w:r>
            <w:proofErr w:type="spellEnd"/>
            <w:r w:rsidRPr="00066C6C">
              <w:rPr>
                <w:rFonts w:cs="Arial"/>
                <w:i/>
                <w:color w:val="333399"/>
                <w:sz w:val="18"/>
                <w:szCs w:val="18"/>
                <w:lang w:eastAsia="pl-PL"/>
              </w:rPr>
              <w:t xml:space="preserve">, energię geotermalną, energię hydrotermalną, hydroenergię, energię fal, prądów i pływów morskich, energię otrzymywaną z biomasy, biogazu, biogazu rolniczego oraz z </w:t>
            </w:r>
            <w:proofErr w:type="spellStart"/>
            <w:r w:rsidRPr="00066C6C">
              <w:rPr>
                <w:rFonts w:cs="Arial"/>
                <w:i/>
                <w:color w:val="333399"/>
                <w:sz w:val="18"/>
                <w:szCs w:val="18"/>
                <w:lang w:eastAsia="pl-PL"/>
              </w:rPr>
              <w:t>biopłynów</w:t>
            </w:r>
            <w:proofErr w:type="spellEnd"/>
            <w:r w:rsidRPr="00066C6C">
              <w:rPr>
                <w:rFonts w:cs="Arial"/>
                <w:i/>
                <w:color w:val="333399"/>
                <w:sz w:val="18"/>
                <w:szCs w:val="18"/>
                <w:lang w:eastAsia="pl-PL"/>
              </w:rPr>
              <w:t>.</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lastRenderedPageBreak/>
              <w:t>Informacje o dostępnych danych i wskaźnikach występujących w statystyce publicznej</w:t>
            </w:r>
          </w:p>
        </w:tc>
        <w:tc>
          <w:tcPr>
            <w:tcW w:w="662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GUS zbiera i udostępnia następujące dane:</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informacje o energii ze źródeł odnawialnych dla całego kraju (coroczna publikacja „Energia ze źródeł odnawialnych”);</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moc zainstalowana w elektrowniach wodnych, wiatrowych i biogazowych (łącznie) w podziale wojewódzkim. (Dane dostępne są w publikacji zbiorczej: „Rocznik statystyczny województw”);</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udział energii ze źródeł odnawialnych w produkcji energii elektrycznej ogółem w % według województw. Dane dostępne są w</w:t>
            </w:r>
            <w:r w:rsidRPr="00066C6C">
              <w:rPr>
                <w:rFonts w:cs="Arial"/>
                <w:b/>
                <w:color w:val="333399"/>
                <w:sz w:val="18"/>
                <w:szCs w:val="18"/>
                <w:lang w:eastAsia="pl-PL"/>
              </w:rPr>
              <w:t xml:space="preserve"> </w:t>
            </w:r>
            <w:r w:rsidRPr="00066C6C">
              <w:rPr>
                <w:rFonts w:cs="Arial"/>
                <w:color w:val="333399"/>
                <w:sz w:val="18"/>
                <w:szCs w:val="18"/>
                <w:lang w:eastAsia="pl-PL"/>
              </w:rPr>
              <w:t>BDL (kategoria: Rynek materiałowy i paliwowo-energetyczny, grupa: Rynek materiałowy);</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produkcja energii elektrycznej z odnawialnych nośników energii w </w:t>
            </w:r>
            <w:proofErr w:type="spellStart"/>
            <w:r w:rsidRPr="00066C6C">
              <w:rPr>
                <w:rFonts w:cs="Arial"/>
                <w:color w:val="333399"/>
                <w:sz w:val="18"/>
                <w:szCs w:val="18"/>
                <w:lang w:eastAsia="pl-PL"/>
              </w:rPr>
              <w:t>GWh</w:t>
            </w:r>
            <w:proofErr w:type="spellEnd"/>
            <w:r w:rsidRPr="00066C6C">
              <w:rPr>
                <w:rFonts w:cs="Arial"/>
                <w:color w:val="333399"/>
                <w:sz w:val="18"/>
                <w:szCs w:val="18"/>
                <w:lang w:eastAsia="pl-PL"/>
              </w:rPr>
              <w:t xml:space="preserve"> według województw. Dane dostępne są w</w:t>
            </w:r>
            <w:r w:rsidRPr="00066C6C">
              <w:rPr>
                <w:rFonts w:cs="Arial"/>
                <w:b/>
                <w:color w:val="333399"/>
                <w:sz w:val="18"/>
                <w:szCs w:val="18"/>
                <w:lang w:eastAsia="pl-PL"/>
              </w:rPr>
              <w:t xml:space="preserve"> </w:t>
            </w:r>
            <w:r w:rsidRPr="00066C6C">
              <w:rPr>
                <w:rFonts w:cs="Arial"/>
                <w:color w:val="333399"/>
                <w:sz w:val="18"/>
                <w:szCs w:val="18"/>
                <w:lang w:eastAsia="pl-PL"/>
              </w:rPr>
              <w:t>BDL (kategoria: Rynek materiałowy i paliwowo-energetyczny, grupa: Rynek materiałowy).</w:t>
            </w:r>
          </w:p>
          <w:p w:rsidR="006957F9" w:rsidRPr="00066C6C" w:rsidRDefault="006957F9" w:rsidP="007F3917">
            <w:pPr>
              <w:spacing w:after="0" w:line="240" w:lineRule="auto"/>
              <w:rPr>
                <w:rFonts w:cs="Arial"/>
                <w:color w:val="333399"/>
                <w:sz w:val="18"/>
                <w:szCs w:val="18"/>
                <w:lang w:eastAsia="pl-PL"/>
              </w:rPr>
            </w:pP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Urząd Regulacji Energetyki prowadzi interaktywną „Mapę odnawialnych źródeł energii” na której podaje informacje dla poziomu Polski, województw i powiatów o liczbie i mocy elektrowni: biogazowych, </w:t>
            </w:r>
            <w:proofErr w:type="spellStart"/>
            <w:r w:rsidRPr="00066C6C">
              <w:rPr>
                <w:rFonts w:cs="Arial"/>
                <w:color w:val="333399"/>
                <w:sz w:val="18"/>
                <w:szCs w:val="18"/>
                <w:lang w:eastAsia="pl-PL"/>
              </w:rPr>
              <w:t>biomasowych</w:t>
            </w:r>
            <w:proofErr w:type="spellEnd"/>
            <w:r w:rsidRPr="00066C6C">
              <w:rPr>
                <w:rFonts w:cs="Arial"/>
                <w:color w:val="333399"/>
                <w:sz w:val="18"/>
                <w:szCs w:val="18"/>
                <w:lang w:eastAsia="pl-PL"/>
              </w:rPr>
              <w:t xml:space="preserve">, geotermalnych, słonecznych, wiatrowych, morskich, wodnych i realizujących technologię </w:t>
            </w:r>
            <w:proofErr w:type="spellStart"/>
            <w:r w:rsidRPr="00066C6C">
              <w:rPr>
                <w:rFonts w:cs="Arial"/>
                <w:color w:val="333399"/>
                <w:sz w:val="18"/>
                <w:szCs w:val="18"/>
                <w:lang w:eastAsia="pl-PL"/>
              </w:rPr>
              <w:t>współspalania</w:t>
            </w:r>
            <w:proofErr w:type="spellEnd"/>
            <w:r w:rsidRPr="00066C6C">
              <w:rPr>
                <w:rFonts w:cs="Arial"/>
                <w:color w:val="333399"/>
                <w:sz w:val="18"/>
                <w:szCs w:val="18"/>
                <w:lang w:eastAsia="pl-PL"/>
              </w:rPr>
              <w:t xml:space="preserve"> (na poziomie wojewódzkim i powiatowym z dalszym, </w:t>
            </w:r>
            <w:proofErr w:type="spellStart"/>
            <w:r w:rsidRPr="00066C6C">
              <w:rPr>
                <w:rFonts w:cs="Arial"/>
                <w:color w:val="333399"/>
                <w:sz w:val="18"/>
                <w:szCs w:val="18"/>
                <w:lang w:eastAsia="pl-PL"/>
              </w:rPr>
              <w:t>szczegółowszym</w:t>
            </w:r>
            <w:proofErr w:type="spellEnd"/>
            <w:r w:rsidRPr="00066C6C">
              <w:rPr>
                <w:rFonts w:cs="Arial"/>
                <w:color w:val="333399"/>
                <w:sz w:val="18"/>
                <w:szCs w:val="18"/>
                <w:lang w:eastAsia="pl-PL"/>
              </w:rPr>
              <w:t xml:space="preserve"> podziałem na 23 typy elektrowni).</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Uwagi interpretacyjne</w:t>
            </w:r>
          </w:p>
        </w:tc>
        <w:tc>
          <w:tcPr>
            <w:tcW w:w="6626" w:type="dxa"/>
            <w:shd w:val="pct5" w:color="auto" w:fill="auto"/>
            <w:vAlign w:val="center"/>
          </w:tcPr>
          <w:p w:rsidR="006957F9"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Wskaźnik dotyczy liczby wybudowanych lub zainstalowanych jednostek wytwarzania energii elektrycznej z OZE.</w:t>
            </w:r>
          </w:p>
          <w:p w:rsidR="006957F9" w:rsidRPr="00376482" w:rsidRDefault="006957F9" w:rsidP="007F3917">
            <w:pPr>
              <w:spacing w:after="0" w:line="240" w:lineRule="auto"/>
              <w:rPr>
                <w:rFonts w:cs="Arial"/>
                <w:color w:val="333399"/>
                <w:sz w:val="18"/>
                <w:szCs w:val="18"/>
                <w:lang w:eastAsia="pl-PL"/>
              </w:rPr>
            </w:pPr>
          </w:p>
          <w:p w:rsidR="006957F9" w:rsidRPr="00376482" w:rsidRDefault="006957F9" w:rsidP="007F3917">
            <w:pPr>
              <w:spacing w:after="0" w:line="240" w:lineRule="auto"/>
              <w:rPr>
                <w:rFonts w:cs="Arial"/>
                <w:color w:val="333399"/>
                <w:sz w:val="18"/>
                <w:szCs w:val="18"/>
                <w:u w:val="single"/>
                <w:lang w:eastAsia="pl-PL"/>
              </w:rPr>
            </w:pPr>
            <w:r w:rsidRPr="00376482">
              <w:rPr>
                <w:rFonts w:cs="Arial"/>
                <w:color w:val="333399"/>
                <w:sz w:val="18"/>
                <w:szCs w:val="18"/>
                <w:u w:val="single"/>
                <w:lang w:eastAsia="pl-PL"/>
              </w:rPr>
              <w:t>Przykład:</w:t>
            </w:r>
          </w:p>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W ramach projektu, który dotyczy modernizacji energetycznej 2 budynków zastosowane zostaną następujące OZE:</w:t>
            </w:r>
          </w:p>
          <w:p w:rsidR="006957F9" w:rsidRPr="00376482" w:rsidRDefault="006957F9" w:rsidP="007F3917">
            <w:pPr>
              <w:spacing w:after="0" w:line="240" w:lineRule="auto"/>
              <w:rPr>
                <w:rFonts w:cs="Arial"/>
                <w:color w:val="333399"/>
                <w:sz w:val="18"/>
                <w:szCs w:val="18"/>
                <w:lang w:eastAsia="pl-PL"/>
              </w:rPr>
            </w:pPr>
            <w:r>
              <w:rPr>
                <w:rFonts w:cs="Arial"/>
                <w:color w:val="333399"/>
                <w:sz w:val="18"/>
                <w:szCs w:val="18"/>
                <w:lang w:eastAsia="pl-PL"/>
              </w:rPr>
              <w:t>-</w:t>
            </w:r>
            <w:r w:rsidRPr="00376482">
              <w:rPr>
                <w:rFonts w:cs="Arial"/>
                <w:color w:val="333399"/>
                <w:sz w:val="18"/>
                <w:szCs w:val="18"/>
                <w:lang w:eastAsia="pl-PL"/>
              </w:rPr>
              <w:t xml:space="preserve"> budynek A – zestaw paneli fotowoltaicznych,</w:t>
            </w:r>
          </w:p>
          <w:p w:rsidR="006957F9" w:rsidRPr="00376482" w:rsidRDefault="006957F9" w:rsidP="007F3917">
            <w:pPr>
              <w:spacing w:after="0" w:line="240" w:lineRule="auto"/>
              <w:rPr>
                <w:rFonts w:cs="Arial"/>
                <w:color w:val="333399"/>
                <w:sz w:val="18"/>
                <w:szCs w:val="18"/>
                <w:lang w:eastAsia="pl-PL"/>
              </w:rPr>
            </w:pPr>
            <w:r>
              <w:rPr>
                <w:rFonts w:cs="Arial"/>
                <w:color w:val="333399"/>
                <w:sz w:val="18"/>
                <w:szCs w:val="18"/>
                <w:lang w:eastAsia="pl-PL"/>
              </w:rPr>
              <w:t>-</w:t>
            </w:r>
            <w:r w:rsidRPr="00376482">
              <w:rPr>
                <w:rFonts w:cs="Arial"/>
                <w:color w:val="333399"/>
                <w:sz w:val="18"/>
                <w:szCs w:val="18"/>
                <w:lang w:eastAsia="pl-PL"/>
              </w:rPr>
              <w:t xml:space="preserve"> budynek B – zestaw paneli fotowoltaicznych, gruntowa pompa ciepła oraz </w:t>
            </w:r>
            <w:proofErr w:type="spellStart"/>
            <w:r w:rsidRPr="00376482">
              <w:rPr>
                <w:rFonts w:cs="Arial"/>
                <w:color w:val="333399"/>
                <w:sz w:val="18"/>
                <w:szCs w:val="18"/>
                <w:lang w:eastAsia="pl-PL"/>
              </w:rPr>
              <w:t>mikroelektrownia</w:t>
            </w:r>
            <w:proofErr w:type="spellEnd"/>
            <w:r w:rsidRPr="00376482">
              <w:rPr>
                <w:rFonts w:cs="Arial"/>
                <w:color w:val="333399"/>
                <w:sz w:val="18"/>
                <w:szCs w:val="18"/>
                <w:lang w:eastAsia="pl-PL"/>
              </w:rPr>
              <w:t xml:space="preserve"> wiatrowa.</w:t>
            </w:r>
          </w:p>
          <w:p w:rsidR="006957F9" w:rsidRPr="00066C6C"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Wartość wskaźnika wynosi: 3 szt. (gruntowa pompa ciepła nie jest źródłem energii elektrycznej).</w:t>
            </w:r>
          </w:p>
        </w:tc>
      </w:tr>
    </w:tbl>
    <w:p w:rsidR="006957F9" w:rsidRDefault="006957F9" w:rsidP="006353F6">
      <w:pPr>
        <w:rPr>
          <w:rFonts w:cs="Arial"/>
        </w:rPr>
      </w:pP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5"/>
        <w:gridCol w:w="6627"/>
      </w:tblGrid>
      <w:tr w:rsidR="006957F9" w:rsidRPr="00066C6C" w:rsidTr="007F3917">
        <w:tc>
          <w:tcPr>
            <w:tcW w:w="2415" w:type="dxa"/>
            <w:shd w:val="pct5" w:color="auto" w:fill="auto"/>
            <w:vAlign w:val="center"/>
          </w:tcPr>
          <w:p w:rsidR="006957F9" w:rsidRPr="00066C6C" w:rsidRDefault="006957F9" w:rsidP="007F3917">
            <w:pPr>
              <w:spacing w:after="0" w:line="240" w:lineRule="auto"/>
              <w:rPr>
                <w:rFonts w:cs="Arial"/>
                <w:b/>
                <w:color w:val="333399"/>
                <w:sz w:val="18"/>
                <w:szCs w:val="18"/>
                <w:lang w:eastAsia="pl-PL"/>
              </w:rPr>
            </w:pPr>
            <w:r w:rsidRPr="00066C6C">
              <w:rPr>
                <w:rFonts w:cs="Arial"/>
                <w:b/>
                <w:color w:val="333399"/>
                <w:sz w:val="18"/>
                <w:szCs w:val="18"/>
                <w:lang w:eastAsia="pl-PL"/>
              </w:rPr>
              <w:t>Nazwa wskaźnika</w:t>
            </w:r>
          </w:p>
        </w:tc>
        <w:tc>
          <w:tcPr>
            <w:tcW w:w="6627" w:type="dxa"/>
            <w:shd w:val="pct5" w:color="auto" w:fill="auto"/>
            <w:vAlign w:val="center"/>
          </w:tcPr>
          <w:p w:rsidR="006957F9" w:rsidRPr="00066C6C" w:rsidRDefault="006957F9" w:rsidP="007F3917">
            <w:pPr>
              <w:spacing w:after="0" w:line="240" w:lineRule="auto"/>
              <w:rPr>
                <w:rFonts w:cs="Arial"/>
                <w:b/>
                <w:color w:val="333399"/>
                <w:sz w:val="18"/>
                <w:szCs w:val="18"/>
                <w:lang w:eastAsia="pl-PL"/>
              </w:rPr>
            </w:pPr>
            <w:r w:rsidRPr="00066C6C">
              <w:rPr>
                <w:rFonts w:cs="Arial"/>
                <w:b/>
                <w:color w:val="333399"/>
                <w:sz w:val="18"/>
                <w:szCs w:val="18"/>
                <w:lang w:eastAsia="pl-PL"/>
              </w:rPr>
              <w:t>Liczba przebudowanych jednostek wytwarzania energii elektrycznej z OZE [szt.]</w:t>
            </w:r>
          </w:p>
        </w:tc>
      </w:tr>
      <w:tr w:rsidR="006957F9" w:rsidRPr="00066C6C" w:rsidTr="007F3917">
        <w:tc>
          <w:tcPr>
            <w:tcW w:w="2415"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Definicja wskaźnika</w:t>
            </w:r>
          </w:p>
        </w:tc>
        <w:tc>
          <w:tcPr>
            <w:tcW w:w="6627" w:type="dxa"/>
            <w:shd w:val="pct5" w:color="auto" w:fill="auto"/>
            <w:vAlign w:val="center"/>
          </w:tcPr>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t>Jednostka wytwarzania energii elektrycznej obejmuje:</w:t>
            </w:r>
          </w:p>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t>w przypadku budynków mieszkalnych i budynków użyteczności publicznej: zespół urządzeń służących do wytwarzania energii elektrycznej z OZE.</w:t>
            </w:r>
          </w:p>
          <w:p w:rsidR="006957F9" w:rsidRPr="00066C6C" w:rsidRDefault="006957F9" w:rsidP="007F3917">
            <w:pPr>
              <w:autoSpaceDE w:val="0"/>
              <w:autoSpaceDN w:val="0"/>
              <w:adjustRightInd w:val="0"/>
              <w:spacing w:before="120" w:after="0" w:line="240" w:lineRule="auto"/>
              <w:jc w:val="both"/>
              <w:rPr>
                <w:rFonts w:cs="Arial"/>
                <w:i/>
                <w:color w:val="333399"/>
                <w:sz w:val="18"/>
                <w:szCs w:val="18"/>
                <w:lang w:eastAsia="pl-PL"/>
              </w:rPr>
            </w:pPr>
            <w:r w:rsidRPr="00066C6C">
              <w:rPr>
                <w:rFonts w:cs="Arial"/>
                <w:i/>
                <w:color w:val="333399"/>
                <w:sz w:val="18"/>
                <w:szCs w:val="18"/>
                <w:lang w:eastAsia="pl-PL"/>
              </w:rPr>
              <w:t xml:space="preserve">Odnawialne źródło energii (zgodnie z ustawą o odnawialnych źródłach energii z dnia 20 lutego 2015 r.) – odnawialne, </w:t>
            </w:r>
            <w:proofErr w:type="spellStart"/>
            <w:r w:rsidRPr="00066C6C">
              <w:rPr>
                <w:rFonts w:cs="Arial"/>
                <w:i/>
                <w:color w:val="333399"/>
                <w:sz w:val="18"/>
                <w:szCs w:val="18"/>
                <w:lang w:eastAsia="pl-PL"/>
              </w:rPr>
              <w:t>niekopalne</w:t>
            </w:r>
            <w:proofErr w:type="spellEnd"/>
            <w:r w:rsidRPr="00066C6C">
              <w:rPr>
                <w:rFonts w:cs="Arial"/>
                <w:i/>
                <w:color w:val="333399"/>
                <w:sz w:val="18"/>
                <w:szCs w:val="18"/>
                <w:lang w:eastAsia="pl-PL"/>
              </w:rPr>
              <w:t xml:space="preserve"> źródła energii obejmujące energię wiatru, energię promieniowania słonecznego, energię </w:t>
            </w:r>
            <w:proofErr w:type="spellStart"/>
            <w:r w:rsidRPr="00066C6C">
              <w:rPr>
                <w:rFonts w:cs="Arial"/>
                <w:i/>
                <w:color w:val="333399"/>
                <w:sz w:val="18"/>
                <w:szCs w:val="18"/>
                <w:lang w:eastAsia="pl-PL"/>
              </w:rPr>
              <w:t>aerotermalną</w:t>
            </w:r>
            <w:proofErr w:type="spellEnd"/>
            <w:r w:rsidRPr="00066C6C">
              <w:rPr>
                <w:rFonts w:cs="Arial"/>
                <w:i/>
                <w:color w:val="333399"/>
                <w:sz w:val="18"/>
                <w:szCs w:val="18"/>
                <w:lang w:eastAsia="pl-PL"/>
              </w:rPr>
              <w:t xml:space="preserve">, energię geotermalną, energię hydrotermalną, hydroenergię, energię fal, prądów i pływów morskich, energię otrzymywaną z biomasy, biogazu, biogazu rolniczego oraz z </w:t>
            </w:r>
            <w:proofErr w:type="spellStart"/>
            <w:r w:rsidRPr="00066C6C">
              <w:rPr>
                <w:rFonts w:cs="Arial"/>
                <w:i/>
                <w:color w:val="333399"/>
                <w:sz w:val="18"/>
                <w:szCs w:val="18"/>
                <w:lang w:eastAsia="pl-PL"/>
              </w:rPr>
              <w:t>biopłynów</w:t>
            </w:r>
            <w:proofErr w:type="spellEnd"/>
            <w:r w:rsidRPr="00066C6C">
              <w:rPr>
                <w:rFonts w:cs="Arial"/>
                <w:i/>
                <w:color w:val="333399"/>
                <w:sz w:val="18"/>
                <w:szCs w:val="18"/>
                <w:lang w:eastAsia="pl-PL"/>
              </w:rPr>
              <w:t>.</w:t>
            </w:r>
          </w:p>
        </w:tc>
      </w:tr>
      <w:tr w:rsidR="006957F9" w:rsidRPr="00066C6C" w:rsidTr="007F3917">
        <w:tc>
          <w:tcPr>
            <w:tcW w:w="2415"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Informacje o dostępnych danych i wskaźnikach </w:t>
            </w:r>
            <w:r w:rsidRPr="00066C6C">
              <w:rPr>
                <w:rFonts w:cs="Arial"/>
                <w:color w:val="333399"/>
                <w:sz w:val="18"/>
                <w:szCs w:val="18"/>
                <w:lang w:eastAsia="pl-PL"/>
              </w:rPr>
              <w:lastRenderedPageBreak/>
              <w:t>występujących w statystyce publicznej</w:t>
            </w:r>
          </w:p>
        </w:tc>
        <w:tc>
          <w:tcPr>
            <w:tcW w:w="6627"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lastRenderedPageBreak/>
              <w:t>GUS zbiera i udostępnia następujące dane:</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informacje o energii ze źródeł odnawialnych dla całego kraju (coroczna publikacja </w:t>
            </w:r>
            <w:r w:rsidRPr="00066C6C">
              <w:rPr>
                <w:rFonts w:cs="Arial"/>
                <w:color w:val="333399"/>
                <w:sz w:val="18"/>
                <w:szCs w:val="18"/>
                <w:lang w:eastAsia="pl-PL"/>
              </w:rPr>
              <w:lastRenderedPageBreak/>
              <w:t>„Energia ze źródeł odnawialnych”);</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moc zainstalowana w elektrowniach wodnych, wiatrowych i biogazowych (łącznie) w podziale wojewódzkim. (Dane dostępne są w publikacji zbiorczej: „Rocznik statystyczny województw”);</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udział energii ze źródeł odnawialnych w produkcji energii elektrycznej ogółem w % według województw. Dane dostępne w BDL (kategoria: Rynek materiałowy i paliwowo-energetyczny, grupa: Rynek materiałowy);</w:t>
            </w: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produkcja energii elektrycznej z odnawialnych nośników energii w </w:t>
            </w:r>
            <w:proofErr w:type="spellStart"/>
            <w:r w:rsidRPr="00066C6C">
              <w:rPr>
                <w:rFonts w:cs="Arial"/>
                <w:color w:val="333399"/>
                <w:sz w:val="18"/>
                <w:szCs w:val="18"/>
                <w:lang w:eastAsia="pl-PL"/>
              </w:rPr>
              <w:t>GWh</w:t>
            </w:r>
            <w:proofErr w:type="spellEnd"/>
            <w:r w:rsidRPr="00066C6C">
              <w:rPr>
                <w:rFonts w:cs="Arial"/>
                <w:color w:val="333399"/>
                <w:sz w:val="18"/>
                <w:szCs w:val="18"/>
                <w:lang w:eastAsia="pl-PL"/>
              </w:rPr>
              <w:t xml:space="preserve"> według województw. Dane dostępne w BDL (kategoria: Rynek materiałowy i paliwowo-energetyczny, grupa: Rynek materiałowy).</w:t>
            </w:r>
          </w:p>
          <w:p w:rsidR="006957F9" w:rsidRPr="00066C6C" w:rsidRDefault="006957F9" w:rsidP="007F3917">
            <w:pPr>
              <w:spacing w:after="0" w:line="240" w:lineRule="auto"/>
              <w:rPr>
                <w:rFonts w:cs="Arial"/>
                <w:color w:val="333399"/>
                <w:sz w:val="18"/>
                <w:szCs w:val="18"/>
                <w:lang w:eastAsia="pl-PL"/>
              </w:rPr>
            </w:pP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Urząd Regulacji Energetyki prowadzi interaktywną „Mapę odnawialnych źródeł energii” na której podaje informacje dla poziomu Polski, województw i powiatów o liczbie i mocy elektrowni: biogazowych, </w:t>
            </w:r>
            <w:proofErr w:type="spellStart"/>
            <w:r w:rsidRPr="00066C6C">
              <w:rPr>
                <w:rFonts w:cs="Arial"/>
                <w:color w:val="333399"/>
                <w:sz w:val="18"/>
                <w:szCs w:val="18"/>
                <w:lang w:eastAsia="pl-PL"/>
              </w:rPr>
              <w:t>biomasowych</w:t>
            </w:r>
            <w:proofErr w:type="spellEnd"/>
            <w:r w:rsidRPr="00066C6C">
              <w:rPr>
                <w:rFonts w:cs="Arial"/>
                <w:color w:val="333399"/>
                <w:sz w:val="18"/>
                <w:szCs w:val="18"/>
                <w:lang w:eastAsia="pl-PL"/>
              </w:rPr>
              <w:t xml:space="preserve">, geotermalnych, słonecznych, wiatrowych, morskich, wodnych i realizujących technologię </w:t>
            </w:r>
            <w:proofErr w:type="spellStart"/>
            <w:r w:rsidRPr="00066C6C">
              <w:rPr>
                <w:rFonts w:cs="Arial"/>
                <w:color w:val="333399"/>
                <w:sz w:val="18"/>
                <w:szCs w:val="18"/>
                <w:lang w:eastAsia="pl-PL"/>
              </w:rPr>
              <w:t>współspalania</w:t>
            </w:r>
            <w:proofErr w:type="spellEnd"/>
            <w:r w:rsidRPr="00066C6C">
              <w:rPr>
                <w:rFonts w:cs="Arial"/>
                <w:color w:val="333399"/>
                <w:sz w:val="18"/>
                <w:szCs w:val="18"/>
                <w:lang w:eastAsia="pl-PL"/>
              </w:rPr>
              <w:t xml:space="preserve"> (na poziomie wojewódzkim i powiatowym z dalszym, </w:t>
            </w:r>
            <w:proofErr w:type="spellStart"/>
            <w:r w:rsidRPr="00066C6C">
              <w:rPr>
                <w:rFonts w:cs="Arial"/>
                <w:color w:val="333399"/>
                <w:sz w:val="18"/>
                <w:szCs w:val="18"/>
                <w:lang w:eastAsia="pl-PL"/>
              </w:rPr>
              <w:t>szczegółowszym</w:t>
            </w:r>
            <w:proofErr w:type="spellEnd"/>
            <w:r w:rsidRPr="00066C6C">
              <w:rPr>
                <w:rFonts w:cs="Arial"/>
                <w:color w:val="333399"/>
                <w:sz w:val="18"/>
                <w:szCs w:val="18"/>
                <w:lang w:eastAsia="pl-PL"/>
              </w:rPr>
              <w:t xml:space="preserve"> podziałem na 23 typy elektrowni).</w:t>
            </w:r>
          </w:p>
        </w:tc>
      </w:tr>
      <w:tr w:rsidR="006957F9" w:rsidRPr="00066C6C" w:rsidTr="007F3917">
        <w:tc>
          <w:tcPr>
            <w:tcW w:w="2415"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lastRenderedPageBreak/>
              <w:t>Uwagi interpretacyjne</w:t>
            </w:r>
          </w:p>
        </w:tc>
        <w:tc>
          <w:tcPr>
            <w:tcW w:w="6627" w:type="dxa"/>
            <w:shd w:val="pct5" w:color="auto" w:fill="auto"/>
            <w:vAlign w:val="center"/>
          </w:tcPr>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Wskaźnik dotyczy liczby przebudowanych jednostek wytwarzania energii elektrycznej z OZE. Stosuje się go, gdy istniało już źródło odnawialnej energii, a w ramach projektu jest ono przebudowywane, rozbudowywane lub w inny sposób zmodernizowane.</w:t>
            </w:r>
          </w:p>
          <w:p w:rsidR="006957F9" w:rsidRPr="00376482" w:rsidRDefault="006957F9" w:rsidP="007F3917">
            <w:pPr>
              <w:spacing w:after="0" w:line="240" w:lineRule="auto"/>
              <w:rPr>
                <w:rFonts w:cs="Arial"/>
                <w:color w:val="333399"/>
                <w:sz w:val="18"/>
                <w:szCs w:val="18"/>
                <w:u w:val="single"/>
                <w:lang w:eastAsia="pl-PL"/>
              </w:rPr>
            </w:pPr>
            <w:r w:rsidRPr="00376482">
              <w:rPr>
                <w:rFonts w:cs="Arial"/>
                <w:color w:val="333399"/>
                <w:sz w:val="18"/>
                <w:szCs w:val="18"/>
                <w:u w:val="single"/>
                <w:lang w:eastAsia="pl-PL"/>
              </w:rPr>
              <w:t>Przykład:</w:t>
            </w:r>
          </w:p>
          <w:p w:rsidR="006957F9" w:rsidRPr="00376482"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 xml:space="preserve">W obiekcie, który poddawany jest głębokiej modernizacji energetycznej był zainstalowany zestaw paneli fotowoltaicznych o mocy 4 </w:t>
            </w:r>
            <w:proofErr w:type="spellStart"/>
            <w:r w:rsidRPr="00376482">
              <w:rPr>
                <w:rFonts w:cs="Arial"/>
                <w:color w:val="333399"/>
                <w:sz w:val="18"/>
                <w:szCs w:val="18"/>
                <w:lang w:eastAsia="pl-PL"/>
              </w:rPr>
              <w:t>kW</w:t>
            </w:r>
            <w:proofErr w:type="spellEnd"/>
            <w:r w:rsidRPr="00376482">
              <w:rPr>
                <w:rFonts w:cs="Arial"/>
                <w:color w:val="333399"/>
                <w:sz w:val="18"/>
                <w:szCs w:val="18"/>
                <w:lang w:eastAsia="pl-PL"/>
              </w:rPr>
              <w:t xml:space="preserve">. Projekt przewiduje rozbudowę układu do mocy 10 </w:t>
            </w:r>
            <w:proofErr w:type="spellStart"/>
            <w:r w:rsidRPr="00376482">
              <w:rPr>
                <w:rFonts w:cs="Arial"/>
                <w:color w:val="333399"/>
                <w:sz w:val="18"/>
                <w:szCs w:val="18"/>
                <w:lang w:eastAsia="pl-PL"/>
              </w:rPr>
              <w:t>kW</w:t>
            </w:r>
            <w:proofErr w:type="spellEnd"/>
            <w:r w:rsidRPr="00376482">
              <w:rPr>
                <w:rFonts w:cs="Arial"/>
                <w:color w:val="333399"/>
                <w:sz w:val="18"/>
                <w:szCs w:val="18"/>
                <w:lang w:eastAsia="pl-PL"/>
              </w:rPr>
              <w:t>.</w:t>
            </w:r>
          </w:p>
          <w:p w:rsidR="006957F9" w:rsidRPr="00066C6C" w:rsidRDefault="006957F9" w:rsidP="007F3917">
            <w:pPr>
              <w:spacing w:after="0" w:line="240" w:lineRule="auto"/>
              <w:rPr>
                <w:rFonts w:cs="Arial"/>
                <w:color w:val="333399"/>
                <w:sz w:val="18"/>
                <w:szCs w:val="18"/>
                <w:lang w:eastAsia="pl-PL"/>
              </w:rPr>
            </w:pPr>
            <w:r w:rsidRPr="00376482">
              <w:rPr>
                <w:rFonts w:cs="Arial"/>
                <w:color w:val="333399"/>
                <w:sz w:val="18"/>
                <w:szCs w:val="18"/>
                <w:lang w:eastAsia="pl-PL"/>
              </w:rPr>
              <w:t>Wartość wskaźnika wynosi: 1 szt.</w:t>
            </w:r>
          </w:p>
        </w:tc>
      </w:tr>
    </w:tbl>
    <w:p w:rsidR="006957F9" w:rsidRDefault="006957F9" w:rsidP="006353F6">
      <w:pPr>
        <w:rPr>
          <w:rFonts w:cs="Arial"/>
        </w:rPr>
      </w:pP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6957F9" w:rsidRPr="00066C6C" w:rsidTr="007F3917">
        <w:trPr>
          <w:trHeight w:val="244"/>
        </w:trPr>
        <w:tc>
          <w:tcPr>
            <w:tcW w:w="2416" w:type="dxa"/>
            <w:shd w:val="pct5" w:color="auto" w:fill="auto"/>
            <w:vAlign w:val="center"/>
          </w:tcPr>
          <w:p w:rsidR="006957F9" w:rsidRPr="00066C6C" w:rsidRDefault="006957F9" w:rsidP="007F3917">
            <w:pPr>
              <w:spacing w:after="0" w:line="240" w:lineRule="auto"/>
              <w:rPr>
                <w:rFonts w:cs="Arial"/>
                <w:b/>
                <w:color w:val="333399"/>
                <w:sz w:val="18"/>
                <w:szCs w:val="18"/>
                <w:lang w:eastAsia="pl-PL"/>
              </w:rPr>
            </w:pPr>
            <w:r w:rsidRPr="00066C6C">
              <w:rPr>
                <w:rFonts w:cs="Arial"/>
                <w:b/>
                <w:color w:val="333399"/>
                <w:sz w:val="18"/>
                <w:szCs w:val="18"/>
                <w:lang w:eastAsia="pl-PL"/>
              </w:rPr>
              <w:t>Nazwa wskaźnika</w:t>
            </w:r>
          </w:p>
        </w:tc>
        <w:tc>
          <w:tcPr>
            <w:tcW w:w="6626" w:type="dxa"/>
            <w:shd w:val="pct5" w:color="auto" w:fill="auto"/>
            <w:vAlign w:val="center"/>
          </w:tcPr>
          <w:p w:rsidR="006957F9" w:rsidRPr="00066C6C" w:rsidRDefault="006957F9" w:rsidP="007F3917">
            <w:pPr>
              <w:autoSpaceDE w:val="0"/>
              <w:autoSpaceDN w:val="0"/>
              <w:adjustRightInd w:val="0"/>
              <w:spacing w:before="120" w:after="0" w:line="240" w:lineRule="auto"/>
              <w:jc w:val="both"/>
              <w:rPr>
                <w:rFonts w:cs="Arial"/>
                <w:b/>
                <w:color w:val="333399"/>
                <w:sz w:val="18"/>
                <w:szCs w:val="18"/>
                <w:lang w:eastAsia="pl-PL"/>
              </w:rPr>
            </w:pPr>
            <w:r w:rsidRPr="00066C6C">
              <w:rPr>
                <w:rFonts w:cs="Arial"/>
                <w:b/>
                <w:color w:val="333399"/>
                <w:sz w:val="18"/>
                <w:szCs w:val="18"/>
                <w:lang w:eastAsia="pl-PL"/>
              </w:rPr>
              <w:t>Liczba wybudowanych jednostek wytwarzania energii cieplnej z OZE [</w:t>
            </w:r>
            <w:r w:rsidRPr="00066C6C">
              <w:rPr>
                <w:rFonts w:cs="Arial"/>
                <w:b/>
                <w:snapToGrid w:val="0"/>
                <w:color w:val="333399"/>
                <w:sz w:val="18"/>
                <w:szCs w:val="18"/>
                <w:lang w:eastAsia="pl-PL"/>
              </w:rPr>
              <w:t>szt.]</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Definicja wskaźnika</w:t>
            </w:r>
          </w:p>
        </w:tc>
        <w:tc>
          <w:tcPr>
            <w:tcW w:w="6626" w:type="dxa"/>
            <w:shd w:val="pct5" w:color="auto" w:fill="auto"/>
            <w:vAlign w:val="center"/>
          </w:tcPr>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t xml:space="preserve">Jednostka wytwarzania energii cieplnej obejmuje: </w:t>
            </w:r>
          </w:p>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t>w przypadku budynków mieszkalnych i budynków użyteczności publicznej: zespół urządzeń służących do wytwarzania energii cieplnej z OZE.</w:t>
            </w:r>
          </w:p>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i/>
                <w:color w:val="333399"/>
                <w:sz w:val="18"/>
                <w:szCs w:val="18"/>
                <w:lang w:eastAsia="pl-PL"/>
              </w:rPr>
              <w:t xml:space="preserve">Odnawialne źródło energii (zgodnie z ustawą o odnawialnych źródłach energii z dnia 20 lutego 2015 r.) – odnawialne, </w:t>
            </w:r>
            <w:proofErr w:type="spellStart"/>
            <w:r w:rsidRPr="00066C6C">
              <w:rPr>
                <w:rFonts w:cs="Arial"/>
                <w:i/>
                <w:color w:val="333399"/>
                <w:sz w:val="18"/>
                <w:szCs w:val="18"/>
                <w:lang w:eastAsia="pl-PL"/>
              </w:rPr>
              <w:t>niekopalne</w:t>
            </w:r>
            <w:proofErr w:type="spellEnd"/>
            <w:r w:rsidRPr="00066C6C">
              <w:rPr>
                <w:rFonts w:cs="Arial"/>
                <w:i/>
                <w:color w:val="333399"/>
                <w:sz w:val="18"/>
                <w:szCs w:val="18"/>
                <w:lang w:eastAsia="pl-PL"/>
              </w:rPr>
              <w:t xml:space="preserve"> źródła energii obejmujące energię wiatru, energię promieniowania słonecznego, energię </w:t>
            </w:r>
            <w:proofErr w:type="spellStart"/>
            <w:r w:rsidRPr="00066C6C">
              <w:rPr>
                <w:rFonts w:cs="Arial"/>
                <w:i/>
                <w:color w:val="333399"/>
                <w:sz w:val="18"/>
                <w:szCs w:val="18"/>
                <w:lang w:eastAsia="pl-PL"/>
              </w:rPr>
              <w:t>aerotermalną</w:t>
            </w:r>
            <w:proofErr w:type="spellEnd"/>
            <w:r w:rsidRPr="00066C6C">
              <w:rPr>
                <w:rFonts w:cs="Arial"/>
                <w:i/>
                <w:color w:val="333399"/>
                <w:sz w:val="18"/>
                <w:szCs w:val="18"/>
                <w:lang w:eastAsia="pl-PL"/>
              </w:rPr>
              <w:t xml:space="preserve">, energię geotermalną, energię hydrotermalną, hydroenergię, energię fal, prądów i pływów morskich, energię otrzymywaną z biomasy, biogazu, biogazu rolniczego oraz z </w:t>
            </w:r>
            <w:proofErr w:type="spellStart"/>
            <w:r w:rsidRPr="00066C6C">
              <w:rPr>
                <w:rFonts w:cs="Arial"/>
                <w:i/>
                <w:color w:val="333399"/>
                <w:sz w:val="18"/>
                <w:szCs w:val="18"/>
                <w:lang w:eastAsia="pl-PL"/>
              </w:rPr>
              <w:t>biopłynów</w:t>
            </w:r>
            <w:proofErr w:type="spellEnd"/>
            <w:r w:rsidRPr="00066C6C">
              <w:rPr>
                <w:rFonts w:cs="Arial"/>
                <w:i/>
                <w:color w:val="333399"/>
                <w:sz w:val="18"/>
                <w:szCs w:val="18"/>
                <w:lang w:eastAsia="pl-PL"/>
              </w:rPr>
              <w:t>.</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Informacje o dostępnych danych i wskaźnikach występujących w statystyce publicznej</w:t>
            </w:r>
          </w:p>
        </w:tc>
        <w:tc>
          <w:tcPr>
            <w:tcW w:w="662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Brak danych udostępnianych przez statystykę publiczną.</w:t>
            </w:r>
          </w:p>
          <w:p w:rsidR="006957F9" w:rsidRPr="00066C6C" w:rsidRDefault="006957F9" w:rsidP="007F3917">
            <w:pPr>
              <w:spacing w:after="0" w:line="240" w:lineRule="auto"/>
              <w:rPr>
                <w:rFonts w:cs="Arial"/>
                <w:color w:val="333399"/>
                <w:sz w:val="18"/>
                <w:szCs w:val="18"/>
                <w:lang w:eastAsia="pl-PL"/>
              </w:rPr>
            </w:pP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Urząd Regulacji Energetyki publikuje coroczny raport „Energetyka cieplna w liczbach”, w którym zawarto m.in. informacje o rodzajach paliw zużytych do produkcji ciepła (dla Polski i według województw) z wydzieleniem biomasy, biogazu i innych odnawialnych źródeł energii.</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Uwagi interpretacyjne</w:t>
            </w:r>
          </w:p>
        </w:tc>
        <w:tc>
          <w:tcPr>
            <w:tcW w:w="6626" w:type="dxa"/>
            <w:shd w:val="pct5" w:color="auto" w:fill="auto"/>
            <w:vAlign w:val="center"/>
          </w:tcPr>
          <w:p w:rsidR="006957F9" w:rsidRDefault="006957F9" w:rsidP="007F3917">
            <w:pPr>
              <w:spacing w:after="0" w:line="240" w:lineRule="auto"/>
              <w:rPr>
                <w:rFonts w:cs="Arial"/>
                <w:color w:val="333399"/>
                <w:sz w:val="18"/>
                <w:szCs w:val="18"/>
                <w:lang w:eastAsia="pl-PL"/>
              </w:rPr>
            </w:pPr>
            <w:r w:rsidRPr="00DB5703">
              <w:rPr>
                <w:rFonts w:cs="Arial"/>
                <w:color w:val="333399"/>
                <w:sz w:val="18"/>
                <w:szCs w:val="18"/>
                <w:lang w:eastAsia="pl-PL"/>
              </w:rPr>
              <w:t>Wskaźnik dotyczy liczby wybudowanych lub zainstalowanych jednostek wytwarzania energii cieplnej z OZE.</w:t>
            </w:r>
          </w:p>
          <w:p w:rsidR="006957F9" w:rsidRPr="00DB5703" w:rsidRDefault="006957F9" w:rsidP="007F3917">
            <w:pPr>
              <w:spacing w:after="0" w:line="240" w:lineRule="auto"/>
              <w:rPr>
                <w:rFonts w:cs="Arial"/>
                <w:color w:val="333399"/>
                <w:sz w:val="18"/>
                <w:szCs w:val="18"/>
                <w:u w:val="single"/>
                <w:lang w:eastAsia="pl-PL"/>
              </w:rPr>
            </w:pPr>
            <w:r w:rsidRPr="00DB5703">
              <w:rPr>
                <w:rFonts w:cs="Arial"/>
                <w:color w:val="333399"/>
                <w:sz w:val="18"/>
                <w:szCs w:val="18"/>
                <w:u w:val="single"/>
                <w:lang w:eastAsia="pl-PL"/>
              </w:rPr>
              <w:t>Przykład:</w:t>
            </w:r>
          </w:p>
          <w:p w:rsidR="006957F9" w:rsidRPr="00DB5703" w:rsidRDefault="006957F9" w:rsidP="007F3917">
            <w:pPr>
              <w:spacing w:after="0" w:line="240" w:lineRule="auto"/>
              <w:rPr>
                <w:rFonts w:cs="Arial"/>
                <w:color w:val="333399"/>
                <w:sz w:val="18"/>
                <w:szCs w:val="18"/>
                <w:lang w:eastAsia="pl-PL"/>
              </w:rPr>
            </w:pPr>
            <w:r w:rsidRPr="00DB5703">
              <w:rPr>
                <w:rFonts w:cs="Arial"/>
                <w:color w:val="333399"/>
                <w:sz w:val="18"/>
                <w:szCs w:val="18"/>
                <w:lang w:eastAsia="pl-PL"/>
              </w:rPr>
              <w:t>W ramach projektu, który dotyczy modernizacji energetycznej 2 budynków zastosowane zostaną następujące OZE:</w:t>
            </w:r>
          </w:p>
          <w:p w:rsidR="006957F9" w:rsidRPr="00DB5703" w:rsidRDefault="006957F9" w:rsidP="007F3917">
            <w:pPr>
              <w:spacing w:after="0" w:line="240" w:lineRule="auto"/>
              <w:rPr>
                <w:rFonts w:cs="Arial"/>
                <w:color w:val="333399"/>
                <w:sz w:val="18"/>
                <w:szCs w:val="18"/>
                <w:lang w:eastAsia="pl-PL"/>
              </w:rPr>
            </w:pPr>
            <w:r>
              <w:rPr>
                <w:rFonts w:cs="Arial"/>
                <w:color w:val="333399"/>
                <w:sz w:val="18"/>
                <w:szCs w:val="18"/>
                <w:lang w:eastAsia="pl-PL"/>
              </w:rPr>
              <w:t>-</w:t>
            </w:r>
            <w:r w:rsidRPr="00DB5703">
              <w:rPr>
                <w:rFonts w:cs="Arial"/>
                <w:color w:val="333399"/>
                <w:sz w:val="18"/>
                <w:szCs w:val="18"/>
                <w:lang w:eastAsia="pl-PL"/>
              </w:rPr>
              <w:t xml:space="preserve"> budynek A – zestaw paneli fotowoltaicznych,</w:t>
            </w:r>
          </w:p>
          <w:p w:rsidR="006957F9" w:rsidRPr="00DB5703" w:rsidRDefault="006957F9" w:rsidP="007F3917">
            <w:pPr>
              <w:spacing w:after="0" w:line="240" w:lineRule="auto"/>
              <w:rPr>
                <w:rFonts w:cs="Arial"/>
                <w:color w:val="333399"/>
                <w:sz w:val="18"/>
                <w:szCs w:val="18"/>
                <w:lang w:eastAsia="pl-PL"/>
              </w:rPr>
            </w:pPr>
            <w:r>
              <w:rPr>
                <w:rFonts w:cs="Arial"/>
                <w:color w:val="333399"/>
                <w:sz w:val="18"/>
                <w:szCs w:val="18"/>
                <w:lang w:eastAsia="pl-PL"/>
              </w:rPr>
              <w:t>-</w:t>
            </w:r>
            <w:r w:rsidRPr="00DB5703">
              <w:rPr>
                <w:rFonts w:cs="Arial"/>
                <w:color w:val="333399"/>
                <w:sz w:val="18"/>
                <w:szCs w:val="18"/>
                <w:lang w:eastAsia="pl-PL"/>
              </w:rPr>
              <w:t xml:space="preserve"> budynek B – zestaw paneli fotowoltaicznych, gruntowa pompa ciepła oraz </w:t>
            </w:r>
            <w:proofErr w:type="spellStart"/>
            <w:r w:rsidRPr="00DB5703">
              <w:rPr>
                <w:rFonts w:cs="Arial"/>
                <w:color w:val="333399"/>
                <w:sz w:val="18"/>
                <w:szCs w:val="18"/>
                <w:lang w:eastAsia="pl-PL"/>
              </w:rPr>
              <w:t>mikroelektrownia</w:t>
            </w:r>
            <w:proofErr w:type="spellEnd"/>
            <w:r w:rsidRPr="00DB5703">
              <w:rPr>
                <w:rFonts w:cs="Arial"/>
                <w:color w:val="333399"/>
                <w:sz w:val="18"/>
                <w:szCs w:val="18"/>
                <w:lang w:eastAsia="pl-PL"/>
              </w:rPr>
              <w:t xml:space="preserve"> wiatrowa.</w:t>
            </w:r>
          </w:p>
          <w:p w:rsidR="006957F9" w:rsidRPr="00066C6C" w:rsidRDefault="006957F9" w:rsidP="007F3917">
            <w:pPr>
              <w:spacing w:after="0" w:line="240" w:lineRule="auto"/>
              <w:rPr>
                <w:rFonts w:cs="Arial"/>
                <w:color w:val="333399"/>
                <w:sz w:val="18"/>
                <w:szCs w:val="18"/>
                <w:lang w:eastAsia="pl-PL"/>
              </w:rPr>
            </w:pPr>
            <w:r w:rsidRPr="00DB5703">
              <w:rPr>
                <w:rFonts w:cs="Arial"/>
                <w:color w:val="333399"/>
                <w:sz w:val="18"/>
                <w:szCs w:val="18"/>
                <w:lang w:eastAsia="pl-PL"/>
              </w:rPr>
              <w:t>Wartość wskaźnika wynosi: 1 szt. (tylko gruntowa pompa ciepła jest źródłem energii cieplnej).</w:t>
            </w:r>
          </w:p>
        </w:tc>
      </w:tr>
    </w:tbl>
    <w:p w:rsidR="006957F9" w:rsidRDefault="006957F9" w:rsidP="006353F6">
      <w:pPr>
        <w:rPr>
          <w:rFonts w:cs="Arial"/>
        </w:rPr>
      </w:pP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b/>
                <w:color w:val="333399"/>
                <w:sz w:val="18"/>
                <w:szCs w:val="18"/>
                <w:lang w:eastAsia="pl-PL"/>
              </w:rPr>
            </w:pPr>
            <w:r w:rsidRPr="00066C6C">
              <w:rPr>
                <w:rFonts w:cs="Arial"/>
                <w:b/>
                <w:color w:val="333399"/>
                <w:sz w:val="18"/>
                <w:szCs w:val="18"/>
                <w:lang w:eastAsia="pl-PL"/>
              </w:rPr>
              <w:t>Nazwa wskaźnika</w:t>
            </w:r>
          </w:p>
        </w:tc>
        <w:tc>
          <w:tcPr>
            <w:tcW w:w="6626" w:type="dxa"/>
            <w:shd w:val="pct5" w:color="auto" w:fill="auto"/>
            <w:vAlign w:val="center"/>
          </w:tcPr>
          <w:p w:rsidR="006957F9" w:rsidRPr="00066C6C" w:rsidRDefault="006957F9" w:rsidP="007F3917">
            <w:pPr>
              <w:spacing w:after="0" w:line="240" w:lineRule="auto"/>
              <w:rPr>
                <w:rFonts w:cs="Arial"/>
                <w:b/>
                <w:color w:val="333399"/>
                <w:sz w:val="18"/>
                <w:szCs w:val="18"/>
                <w:lang w:eastAsia="pl-PL"/>
              </w:rPr>
            </w:pPr>
            <w:r w:rsidRPr="00066C6C">
              <w:rPr>
                <w:rFonts w:cs="Arial"/>
                <w:b/>
                <w:color w:val="333399"/>
                <w:sz w:val="18"/>
                <w:szCs w:val="18"/>
                <w:lang w:eastAsia="pl-PL"/>
              </w:rPr>
              <w:t>Liczba przebudowanych jednostek wytwarzania energii cieplnej z OZE [</w:t>
            </w:r>
            <w:r w:rsidRPr="00066C6C">
              <w:rPr>
                <w:rFonts w:cs="Arial"/>
                <w:b/>
                <w:snapToGrid w:val="0"/>
                <w:color w:val="333399"/>
                <w:sz w:val="18"/>
                <w:szCs w:val="18"/>
                <w:lang w:eastAsia="pl-PL"/>
              </w:rPr>
              <w:t>szt.]</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lastRenderedPageBreak/>
              <w:t>Definicja wskaźnika</w:t>
            </w:r>
          </w:p>
        </w:tc>
        <w:tc>
          <w:tcPr>
            <w:tcW w:w="6626" w:type="dxa"/>
            <w:shd w:val="pct5" w:color="auto" w:fill="auto"/>
            <w:vAlign w:val="center"/>
          </w:tcPr>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t>Jednostka wytwarzania energii elektrycznej obejmuje:</w:t>
            </w:r>
          </w:p>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color w:val="333399"/>
                <w:sz w:val="18"/>
                <w:szCs w:val="18"/>
                <w:lang w:eastAsia="pl-PL"/>
              </w:rPr>
              <w:t>w przypadku budynków mieszkalnych i budynków użyteczności publicznej: zespół urządzeń służących do wytwarzania energii cieplnej z OZE.</w:t>
            </w:r>
          </w:p>
          <w:p w:rsidR="006957F9" w:rsidRPr="00066C6C" w:rsidRDefault="006957F9" w:rsidP="007F3917">
            <w:pPr>
              <w:autoSpaceDE w:val="0"/>
              <w:autoSpaceDN w:val="0"/>
              <w:adjustRightInd w:val="0"/>
              <w:spacing w:before="120" w:after="0" w:line="240" w:lineRule="auto"/>
              <w:jc w:val="both"/>
              <w:rPr>
                <w:rFonts w:cs="Arial"/>
                <w:color w:val="333399"/>
                <w:sz w:val="18"/>
                <w:szCs w:val="18"/>
                <w:lang w:eastAsia="pl-PL"/>
              </w:rPr>
            </w:pPr>
            <w:r w:rsidRPr="00066C6C">
              <w:rPr>
                <w:rFonts w:cs="Arial"/>
                <w:i/>
                <w:color w:val="333399"/>
                <w:sz w:val="18"/>
                <w:szCs w:val="18"/>
                <w:lang w:eastAsia="pl-PL"/>
              </w:rPr>
              <w:t xml:space="preserve">Odnawialne źródło energii (zgodnie z ustawą o odnawialnych źródłach energii z dnia 20 lutego 2015 r.) – odnawialne, </w:t>
            </w:r>
            <w:proofErr w:type="spellStart"/>
            <w:r w:rsidRPr="00066C6C">
              <w:rPr>
                <w:rFonts w:cs="Arial"/>
                <w:i/>
                <w:color w:val="333399"/>
                <w:sz w:val="18"/>
                <w:szCs w:val="18"/>
                <w:lang w:eastAsia="pl-PL"/>
              </w:rPr>
              <w:t>niekopalne</w:t>
            </w:r>
            <w:proofErr w:type="spellEnd"/>
            <w:r w:rsidRPr="00066C6C">
              <w:rPr>
                <w:rFonts w:cs="Arial"/>
                <w:i/>
                <w:color w:val="333399"/>
                <w:sz w:val="18"/>
                <w:szCs w:val="18"/>
                <w:lang w:eastAsia="pl-PL"/>
              </w:rPr>
              <w:t xml:space="preserve"> źródła energii obejmujące energię wiatru, energię promieniowania słonecznego, energię </w:t>
            </w:r>
            <w:proofErr w:type="spellStart"/>
            <w:r w:rsidRPr="00066C6C">
              <w:rPr>
                <w:rFonts w:cs="Arial"/>
                <w:i/>
                <w:color w:val="333399"/>
                <w:sz w:val="18"/>
                <w:szCs w:val="18"/>
                <w:lang w:eastAsia="pl-PL"/>
              </w:rPr>
              <w:t>aerotermalną</w:t>
            </w:r>
            <w:proofErr w:type="spellEnd"/>
            <w:r w:rsidRPr="00066C6C">
              <w:rPr>
                <w:rFonts w:cs="Arial"/>
                <w:i/>
                <w:color w:val="333399"/>
                <w:sz w:val="18"/>
                <w:szCs w:val="18"/>
                <w:lang w:eastAsia="pl-PL"/>
              </w:rPr>
              <w:t xml:space="preserve">, energię geotermalną, energię hydrotermalną, hydroenergię, energię fal, prądów i pływów morskich, energię otrzymywaną z biomasy, biogazu, biogazu rolniczego oraz z </w:t>
            </w:r>
            <w:proofErr w:type="spellStart"/>
            <w:r w:rsidRPr="00066C6C">
              <w:rPr>
                <w:rFonts w:cs="Arial"/>
                <w:i/>
                <w:color w:val="333399"/>
                <w:sz w:val="18"/>
                <w:szCs w:val="18"/>
                <w:lang w:eastAsia="pl-PL"/>
              </w:rPr>
              <w:t>biopłynów</w:t>
            </w:r>
            <w:proofErr w:type="spellEnd"/>
            <w:r w:rsidRPr="00066C6C">
              <w:rPr>
                <w:rFonts w:cs="Arial"/>
                <w:i/>
                <w:color w:val="333399"/>
                <w:sz w:val="18"/>
                <w:szCs w:val="18"/>
                <w:lang w:eastAsia="pl-PL"/>
              </w:rPr>
              <w:t>.</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Informacje o dostępnych danych i wskaźnikach występujących w statystyce publicznej</w:t>
            </w:r>
          </w:p>
        </w:tc>
        <w:tc>
          <w:tcPr>
            <w:tcW w:w="662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Brak danych udostępnianych przez statystykę publiczną.</w:t>
            </w:r>
          </w:p>
          <w:p w:rsidR="006957F9" w:rsidRPr="00066C6C" w:rsidRDefault="006957F9" w:rsidP="007F3917">
            <w:pPr>
              <w:spacing w:after="0" w:line="240" w:lineRule="auto"/>
              <w:rPr>
                <w:rFonts w:cs="Arial"/>
                <w:color w:val="333399"/>
                <w:sz w:val="18"/>
                <w:szCs w:val="18"/>
                <w:lang w:eastAsia="pl-PL"/>
              </w:rPr>
            </w:pPr>
          </w:p>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Urząd Regulacji Energetyki publikuje coroczny raport „Energetyka cieplna w liczbach”, w którym zawarto m.in. informacje o rodzajach paliw zużytych do produkcji ciepła (dla Polski i według województw) z wydzieleniem biomasy, biogazu i innych odnawialnych źródeł energii.</w:t>
            </w:r>
          </w:p>
        </w:tc>
      </w:tr>
      <w:tr w:rsidR="006957F9" w:rsidRPr="00066C6C" w:rsidTr="007F3917">
        <w:tc>
          <w:tcPr>
            <w:tcW w:w="2416" w:type="dxa"/>
            <w:shd w:val="pct5" w:color="auto" w:fill="auto"/>
            <w:vAlign w:val="center"/>
          </w:tcPr>
          <w:p w:rsidR="006957F9" w:rsidRPr="00066C6C" w:rsidRDefault="006957F9" w:rsidP="007F3917">
            <w:pPr>
              <w:spacing w:after="0" w:line="240" w:lineRule="auto"/>
              <w:rPr>
                <w:rFonts w:cs="Arial"/>
                <w:color w:val="333399"/>
                <w:sz w:val="18"/>
                <w:szCs w:val="18"/>
                <w:lang w:eastAsia="pl-PL"/>
              </w:rPr>
            </w:pPr>
            <w:r w:rsidRPr="00066C6C">
              <w:rPr>
                <w:rFonts w:cs="Arial"/>
                <w:color w:val="333399"/>
                <w:sz w:val="18"/>
                <w:szCs w:val="18"/>
                <w:lang w:eastAsia="pl-PL"/>
              </w:rPr>
              <w:t>Uwagi interpretacyjne</w:t>
            </w:r>
          </w:p>
        </w:tc>
        <w:tc>
          <w:tcPr>
            <w:tcW w:w="6626" w:type="dxa"/>
            <w:shd w:val="pct5" w:color="auto" w:fill="auto"/>
            <w:vAlign w:val="center"/>
          </w:tcPr>
          <w:p w:rsidR="006957F9" w:rsidRDefault="006957F9" w:rsidP="007F3917">
            <w:pPr>
              <w:spacing w:after="0" w:line="240" w:lineRule="auto"/>
              <w:rPr>
                <w:rFonts w:cs="Arial"/>
                <w:color w:val="333399"/>
                <w:sz w:val="18"/>
                <w:szCs w:val="18"/>
                <w:lang w:eastAsia="pl-PL"/>
              </w:rPr>
            </w:pPr>
            <w:r w:rsidRPr="00DB5703">
              <w:rPr>
                <w:rFonts w:cs="Arial"/>
                <w:color w:val="333399"/>
                <w:sz w:val="18"/>
                <w:szCs w:val="18"/>
                <w:lang w:eastAsia="pl-PL"/>
              </w:rPr>
              <w:t>Wskaźnik dotyczy liczby przebudowanych jednostek wytwarzania energii cieplnej z OZE. Stosuje się go, gdy istniało już źródło odnawialnej energii, a w ramach projektu jest ono przebudowywane, rozbudowywane lub w inny sposób zmodernizowane.</w:t>
            </w:r>
          </w:p>
          <w:p w:rsidR="006957F9" w:rsidRPr="00DB5703" w:rsidRDefault="006957F9" w:rsidP="007F3917">
            <w:pPr>
              <w:spacing w:after="0" w:line="240" w:lineRule="auto"/>
              <w:rPr>
                <w:rFonts w:cs="Arial"/>
                <w:color w:val="333399"/>
                <w:sz w:val="18"/>
                <w:szCs w:val="18"/>
                <w:u w:val="single"/>
                <w:lang w:eastAsia="pl-PL"/>
              </w:rPr>
            </w:pPr>
            <w:r w:rsidRPr="00DB5703">
              <w:rPr>
                <w:rFonts w:cs="Arial"/>
                <w:color w:val="333399"/>
                <w:sz w:val="18"/>
                <w:szCs w:val="18"/>
                <w:u w:val="single"/>
                <w:lang w:eastAsia="pl-PL"/>
              </w:rPr>
              <w:t>Przykład:</w:t>
            </w:r>
          </w:p>
          <w:p w:rsidR="006957F9" w:rsidRPr="00DB5703" w:rsidRDefault="006957F9" w:rsidP="007F3917">
            <w:pPr>
              <w:spacing w:after="0" w:line="240" w:lineRule="auto"/>
              <w:rPr>
                <w:rFonts w:cs="Arial"/>
                <w:color w:val="333399"/>
                <w:sz w:val="18"/>
                <w:szCs w:val="18"/>
                <w:lang w:eastAsia="pl-PL"/>
              </w:rPr>
            </w:pPr>
            <w:r w:rsidRPr="00DB5703">
              <w:rPr>
                <w:rFonts w:cs="Arial"/>
                <w:color w:val="333399"/>
                <w:sz w:val="18"/>
                <w:szCs w:val="18"/>
                <w:lang w:eastAsia="pl-PL"/>
              </w:rPr>
              <w:t xml:space="preserve">W obiekcie, który poddawany jest głębokiej modernizacji energetycznej była zainstalowana gruntowa pompa ciepła o mocy 20 </w:t>
            </w:r>
            <w:proofErr w:type="spellStart"/>
            <w:r w:rsidRPr="00DB5703">
              <w:rPr>
                <w:rFonts w:cs="Arial"/>
                <w:color w:val="333399"/>
                <w:sz w:val="18"/>
                <w:szCs w:val="18"/>
                <w:lang w:eastAsia="pl-PL"/>
              </w:rPr>
              <w:t>kW</w:t>
            </w:r>
            <w:proofErr w:type="spellEnd"/>
            <w:r w:rsidRPr="00DB5703">
              <w:rPr>
                <w:rFonts w:cs="Arial"/>
                <w:color w:val="333399"/>
                <w:sz w:val="18"/>
                <w:szCs w:val="18"/>
                <w:lang w:eastAsia="pl-PL"/>
              </w:rPr>
              <w:t xml:space="preserve"> i zestaw kolektorów słonecznych do podgrzewania </w:t>
            </w:r>
            <w:proofErr w:type="spellStart"/>
            <w:r w:rsidRPr="00DB5703">
              <w:rPr>
                <w:rFonts w:cs="Arial"/>
                <w:color w:val="333399"/>
                <w:sz w:val="18"/>
                <w:szCs w:val="18"/>
                <w:lang w:eastAsia="pl-PL"/>
              </w:rPr>
              <w:t>c.w.u</w:t>
            </w:r>
            <w:proofErr w:type="spellEnd"/>
            <w:r w:rsidRPr="00DB5703">
              <w:rPr>
                <w:rFonts w:cs="Arial"/>
                <w:color w:val="333399"/>
                <w:sz w:val="18"/>
                <w:szCs w:val="18"/>
                <w:lang w:eastAsia="pl-PL"/>
              </w:rPr>
              <w:t xml:space="preserve">. Projekt przewiduje rozbudowę układu pompy ciepła do mocy 40 </w:t>
            </w:r>
            <w:proofErr w:type="spellStart"/>
            <w:r w:rsidRPr="00DB5703">
              <w:rPr>
                <w:rFonts w:cs="Arial"/>
                <w:color w:val="333399"/>
                <w:sz w:val="18"/>
                <w:szCs w:val="18"/>
                <w:lang w:eastAsia="pl-PL"/>
              </w:rPr>
              <w:t>kW</w:t>
            </w:r>
            <w:proofErr w:type="spellEnd"/>
            <w:r w:rsidRPr="00DB5703">
              <w:rPr>
                <w:rFonts w:cs="Arial"/>
                <w:color w:val="333399"/>
                <w:sz w:val="18"/>
                <w:szCs w:val="18"/>
                <w:lang w:eastAsia="pl-PL"/>
              </w:rPr>
              <w:t>, zestaw kolektorów będzie funkcjonował bez zmian.</w:t>
            </w:r>
          </w:p>
          <w:p w:rsidR="006957F9" w:rsidRPr="00066C6C" w:rsidRDefault="006957F9" w:rsidP="007F3917">
            <w:pPr>
              <w:spacing w:after="0" w:line="240" w:lineRule="auto"/>
              <w:rPr>
                <w:rFonts w:cs="Arial"/>
                <w:color w:val="333399"/>
                <w:sz w:val="18"/>
                <w:szCs w:val="18"/>
                <w:lang w:eastAsia="pl-PL"/>
              </w:rPr>
            </w:pPr>
            <w:r w:rsidRPr="00DB5703">
              <w:rPr>
                <w:rFonts w:cs="Arial"/>
                <w:color w:val="333399"/>
                <w:sz w:val="18"/>
                <w:szCs w:val="18"/>
                <w:lang w:eastAsia="pl-PL"/>
              </w:rPr>
              <w:t>Wartość wskaźnika wynosi: 1 szt.</w:t>
            </w:r>
          </w:p>
        </w:tc>
      </w:tr>
    </w:tbl>
    <w:p w:rsidR="006957F9" w:rsidRDefault="006957F9" w:rsidP="006353F6">
      <w:pPr>
        <w:rPr>
          <w:rFonts w:cs="Arial"/>
        </w:rPr>
      </w:pP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6957F9" w:rsidRPr="00DB5703" w:rsidTr="007F3917">
        <w:tc>
          <w:tcPr>
            <w:tcW w:w="2416" w:type="dxa"/>
            <w:shd w:val="pct5" w:color="auto" w:fill="auto"/>
            <w:vAlign w:val="center"/>
          </w:tcPr>
          <w:p w:rsidR="006957F9" w:rsidRPr="00DB5703" w:rsidRDefault="006957F9" w:rsidP="007F3917">
            <w:pPr>
              <w:spacing w:after="0" w:line="240" w:lineRule="auto"/>
              <w:rPr>
                <w:rFonts w:cs="Arial"/>
                <w:b/>
                <w:color w:val="333399"/>
                <w:sz w:val="18"/>
                <w:szCs w:val="18"/>
                <w:lang w:eastAsia="pl-PL"/>
              </w:rPr>
            </w:pPr>
            <w:r w:rsidRPr="00DB5703">
              <w:rPr>
                <w:rFonts w:cs="Arial"/>
                <w:b/>
                <w:color w:val="333399"/>
                <w:sz w:val="18"/>
                <w:szCs w:val="18"/>
                <w:lang w:eastAsia="pl-PL"/>
              </w:rPr>
              <w:t>Nazwa wskaźnika</w:t>
            </w:r>
          </w:p>
        </w:tc>
        <w:tc>
          <w:tcPr>
            <w:tcW w:w="6626" w:type="dxa"/>
            <w:shd w:val="pct5" w:color="auto" w:fill="auto"/>
            <w:vAlign w:val="center"/>
          </w:tcPr>
          <w:p w:rsidR="006957F9" w:rsidRPr="00DB5703" w:rsidRDefault="006957F9" w:rsidP="007F3917">
            <w:pPr>
              <w:spacing w:after="0" w:line="240" w:lineRule="auto"/>
              <w:rPr>
                <w:rFonts w:cs="Arial"/>
                <w:b/>
                <w:color w:val="333399"/>
                <w:sz w:val="18"/>
                <w:szCs w:val="18"/>
                <w:lang w:eastAsia="pl-PL"/>
              </w:rPr>
            </w:pPr>
            <w:r w:rsidRPr="00DB5703">
              <w:rPr>
                <w:rFonts w:cs="Arial"/>
                <w:b/>
                <w:color w:val="333399"/>
                <w:sz w:val="18"/>
                <w:szCs w:val="18"/>
                <w:lang w:eastAsia="pl-PL"/>
              </w:rPr>
              <w:t>Powierzchnia użytkowa budynków poddanych termomodernizacji [m2].</w:t>
            </w:r>
          </w:p>
        </w:tc>
      </w:tr>
      <w:tr w:rsidR="006957F9" w:rsidRPr="00DB5703" w:rsidTr="007F3917">
        <w:tc>
          <w:tcPr>
            <w:tcW w:w="2416" w:type="dxa"/>
            <w:shd w:val="pct5" w:color="auto" w:fill="auto"/>
            <w:vAlign w:val="center"/>
          </w:tcPr>
          <w:p w:rsidR="006957F9" w:rsidRPr="00DB5703" w:rsidRDefault="006957F9" w:rsidP="007F3917">
            <w:pPr>
              <w:spacing w:after="0" w:line="240" w:lineRule="auto"/>
              <w:rPr>
                <w:rFonts w:cs="Arial"/>
                <w:color w:val="333399"/>
                <w:sz w:val="18"/>
                <w:szCs w:val="18"/>
                <w:lang w:eastAsia="pl-PL"/>
              </w:rPr>
            </w:pPr>
            <w:r w:rsidRPr="00DB5703">
              <w:rPr>
                <w:rFonts w:cs="Arial"/>
                <w:color w:val="333399"/>
                <w:sz w:val="18"/>
                <w:szCs w:val="18"/>
                <w:lang w:eastAsia="pl-PL"/>
              </w:rPr>
              <w:t>Definicja wskaźnika</w:t>
            </w:r>
          </w:p>
        </w:tc>
        <w:tc>
          <w:tcPr>
            <w:tcW w:w="6626" w:type="dxa"/>
            <w:shd w:val="pct5" w:color="auto" w:fill="auto"/>
            <w:vAlign w:val="center"/>
          </w:tcPr>
          <w:p w:rsidR="006957F9" w:rsidRPr="0096105B" w:rsidRDefault="006957F9" w:rsidP="007F3917">
            <w:pPr>
              <w:autoSpaceDE w:val="0"/>
              <w:autoSpaceDN w:val="0"/>
              <w:adjustRightInd w:val="0"/>
              <w:spacing w:before="120" w:after="0" w:line="240" w:lineRule="auto"/>
              <w:jc w:val="both"/>
              <w:rPr>
                <w:rFonts w:cs="Arial"/>
                <w:color w:val="333399"/>
                <w:sz w:val="18"/>
                <w:szCs w:val="18"/>
                <w:lang w:eastAsia="pl-PL"/>
              </w:rPr>
            </w:pPr>
            <w:r>
              <w:rPr>
                <w:rFonts w:cs="Arial"/>
                <w:color w:val="333399"/>
                <w:sz w:val="18"/>
                <w:szCs w:val="18"/>
                <w:lang w:eastAsia="pl-PL"/>
              </w:rPr>
              <w:t>Ilość</w:t>
            </w:r>
            <w:r w:rsidRPr="0096105B">
              <w:rPr>
                <w:rFonts w:cs="Arial"/>
                <w:color w:val="333399"/>
                <w:sz w:val="18"/>
                <w:szCs w:val="18"/>
                <w:lang w:eastAsia="pl-PL"/>
              </w:rPr>
              <w:t xml:space="preserve"> m2 powierzchni użytkowej poddanej termomodernizacji, gdzie termomodernizacja definiowana jest jako przedsięwzięcia służące poprawie efektywności energetycznej, zgodnie z zapisami:</w:t>
            </w:r>
          </w:p>
          <w:p w:rsidR="006957F9" w:rsidRPr="0096105B" w:rsidRDefault="006957F9" w:rsidP="007F3917">
            <w:pPr>
              <w:autoSpaceDE w:val="0"/>
              <w:autoSpaceDN w:val="0"/>
              <w:adjustRightInd w:val="0"/>
              <w:spacing w:before="120" w:after="0" w:line="240" w:lineRule="auto"/>
              <w:jc w:val="both"/>
              <w:rPr>
                <w:rFonts w:cs="Arial"/>
                <w:color w:val="333399"/>
                <w:sz w:val="18"/>
                <w:szCs w:val="18"/>
                <w:lang w:eastAsia="pl-PL"/>
              </w:rPr>
            </w:pPr>
            <w:r w:rsidRPr="0096105B">
              <w:rPr>
                <w:rFonts w:cs="Arial"/>
                <w:color w:val="333399"/>
                <w:sz w:val="18"/>
                <w:szCs w:val="18"/>
                <w:lang w:eastAsia="pl-PL"/>
              </w:rPr>
              <w:t>Ustawy</w:t>
            </w:r>
            <w:r>
              <w:rPr>
                <w:rFonts w:cs="Arial"/>
                <w:color w:val="333399"/>
                <w:sz w:val="18"/>
                <w:szCs w:val="18"/>
                <w:lang w:eastAsia="pl-PL"/>
              </w:rPr>
              <w:t xml:space="preserve"> </w:t>
            </w:r>
            <w:r w:rsidRPr="0096105B">
              <w:rPr>
                <w:rFonts w:cs="Arial"/>
                <w:color w:val="333399"/>
                <w:sz w:val="18"/>
                <w:szCs w:val="18"/>
                <w:lang w:eastAsia="pl-PL"/>
              </w:rPr>
              <w:t>z dnia 15 kwietnia 2011 r. o efektywności energetycznej;</w:t>
            </w:r>
          </w:p>
          <w:p w:rsidR="006957F9" w:rsidRPr="0096105B" w:rsidRDefault="006957F9" w:rsidP="007F3917">
            <w:pPr>
              <w:autoSpaceDE w:val="0"/>
              <w:autoSpaceDN w:val="0"/>
              <w:adjustRightInd w:val="0"/>
              <w:spacing w:before="120" w:after="0" w:line="240" w:lineRule="auto"/>
              <w:jc w:val="both"/>
              <w:rPr>
                <w:rFonts w:cs="Arial"/>
                <w:color w:val="333399"/>
                <w:sz w:val="18"/>
                <w:szCs w:val="18"/>
                <w:lang w:eastAsia="pl-PL"/>
              </w:rPr>
            </w:pPr>
            <w:r w:rsidRPr="0096105B">
              <w:rPr>
                <w:rFonts w:cs="Arial"/>
                <w:color w:val="333399"/>
                <w:sz w:val="18"/>
                <w:szCs w:val="18"/>
                <w:lang w:eastAsia="pl-PL"/>
              </w:rPr>
              <w:t>Obwieszczenia Ministra Gospodarki</w:t>
            </w:r>
            <w:r>
              <w:rPr>
                <w:rFonts w:cs="Arial"/>
                <w:color w:val="333399"/>
                <w:sz w:val="18"/>
                <w:szCs w:val="18"/>
                <w:lang w:eastAsia="pl-PL"/>
              </w:rPr>
              <w:t xml:space="preserve"> </w:t>
            </w:r>
            <w:r w:rsidRPr="0096105B">
              <w:rPr>
                <w:rFonts w:cs="Arial"/>
                <w:color w:val="333399"/>
                <w:sz w:val="18"/>
                <w:szCs w:val="18"/>
                <w:lang w:eastAsia="pl-PL"/>
              </w:rPr>
              <w:t>z dnia 21 grudnia 2012 r.</w:t>
            </w:r>
            <w:r>
              <w:rPr>
                <w:rFonts w:cs="Arial"/>
                <w:color w:val="333399"/>
                <w:sz w:val="18"/>
                <w:szCs w:val="18"/>
                <w:lang w:eastAsia="pl-PL"/>
              </w:rPr>
              <w:t xml:space="preserve"> </w:t>
            </w:r>
            <w:r w:rsidRPr="0096105B">
              <w:rPr>
                <w:rFonts w:cs="Arial"/>
                <w:color w:val="333399"/>
                <w:sz w:val="18"/>
                <w:szCs w:val="18"/>
                <w:lang w:eastAsia="pl-PL"/>
              </w:rPr>
              <w:t>w sprawie szczegółowego wykazu przedsięwzięć służących poprawie efektywności energetycznej;</w:t>
            </w:r>
          </w:p>
          <w:p w:rsidR="006957F9" w:rsidRPr="00DB5703" w:rsidRDefault="006957F9" w:rsidP="007F3917">
            <w:pPr>
              <w:autoSpaceDE w:val="0"/>
              <w:autoSpaceDN w:val="0"/>
              <w:adjustRightInd w:val="0"/>
              <w:spacing w:before="120" w:after="0" w:line="240" w:lineRule="auto"/>
              <w:jc w:val="both"/>
              <w:rPr>
                <w:rFonts w:cs="Arial"/>
                <w:color w:val="333399"/>
                <w:sz w:val="18"/>
                <w:szCs w:val="18"/>
                <w:lang w:eastAsia="pl-PL"/>
              </w:rPr>
            </w:pPr>
            <w:r w:rsidRPr="0096105B">
              <w:rPr>
                <w:rFonts w:cs="Arial"/>
                <w:color w:val="333399"/>
                <w:sz w:val="18"/>
                <w:szCs w:val="18"/>
                <w:lang w:eastAsia="pl-PL"/>
              </w:rPr>
              <w:t>Ustawy</w:t>
            </w:r>
            <w:r>
              <w:rPr>
                <w:rFonts w:cs="Arial"/>
                <w:color w:val="333399"/>
                <w:sz w:val="18"/>
                <w:szCs w:val="18"/>
                <w:lang w:eastAsia="pl-PL"/>
              </w:rPr>
              <w:t xml:space="preserve"> </w:t>
            </w:r>
            <w:r w:rsidRPr="0096105B">
              <w:rPr>
                <w:rFonts w:cs="Arial"/>
                <w:color w:val="333399"/>
                <w:sz w:val="18"/>
                <w:szCs w:val="18"/>
                <w:lang w:eastAsia="pl-PL"/>
              </w:rPr>
              <w:t>z dnia 21 listopada 2008 r. o wspieraniu termomodernizacji i remontów.</w:t>
            </w:r>
          </w:p>
        </w:tc>
      </w:tr>
      <w:tr w:rsidR="006957F9" w:rsidRPr="00DB5703" w:rsidTr="007F3917">
        <w:tc>
          <w:tcPr>
            <w:tcW w:w="2416" w:type="dxa"/>
            <w:shd w:val="pct5" w:color="auto" w:fill="auto"/>
            <w:vAlign w:val="center"/>
          </w:tcPr>
          <w:p w:rsidR="006957F9" w:rsidRPr="00DB5703" w:rsidRDefault="006957F9" w:rsidP="007F3917">
            <w:pPr>
              <w:spacing w:after="0" w:line="240" w:lineRule="auto"/>
              <w:rPr>
                <w:rFonts w:cs="Arial"/>
                <w:color w:val="333399"/>
                <w:sz w:val="18"/>
                <w:szCs w:val="18"/>
                <w:lang w:eastAsia="pl-PL"/>
              </w:rPr>
            </w:pPr>
            <w:r w:rsidRPr="00DB5703">
              <w:rPr>
                <w:rFonts w:cs="Arial"/>
                <w:color w:val="333399"/>
                <w:sz w:val="18"/>
                <w:szCs w:val="18"/>
                <w:lang w:eastAsia="pl-PL"/>
              </w:rPr>
              <w:t>Informacje o dostępnych danych i wskaźnikach występujących w statystyce publicznej</w:t>
            </w:r>
          </w:p>
        </w:tc>
        <w:tc>
          <w:tcPr>
            <w:tcW w:w="6626" w:type="dxa"/>
            <w:shd w:val="pct5" w:color="auto" w:fill="auto"/>
            <w:vAlign w:val="center"/>
          </w:tcPr>
          <w:p w:rsidR="006957F9" w:rsidRPr="00DB5703" w:rsidRDefault="006957F9" w:rsidP="007F3917">
            <w:pPr>
              <w:spacing w:after="0" w:line="240" w:lineRule="auto"/>
              <w:rPr>
                <w:rFonts w:cs="Arial"/>
                <w:color w:val="333399"/>
                <w:sz w:val="18"/>
                <w:szCs w:val="18"/>
                <w:lang w:eastAsia="pl-PL"/>
              </w:rPr>
            </w:pPr>
            <w:r>
              <w:rPr>
                <w:rFonts w:cs="Arial"/>
                <w:color w:val="333399"/>
                <w:sz w:val="18"/>
                <w:szCs w:val="18"/>
                <w:lang w:eastAsia="pl-PL"/>
              </w:rPr>
              <w:t>Nie dotyczy</w:t>
            </w:r>
          </w:p>
        </w:tc>
      </w:tr>
      <w:tr w:rsidR="006957F9" w:rsidRPr="00DB5703" w:rsidTr="007F3917">
        <w:tc>
          <w:tcPr>
            <w:tcW w:w="2416" w:type="dxa"/>
            <w:shd w:val="pct5" w:color="auto" w:fill="auto"/>
            <w:vAlign w:val="center"/>
          </w:tcPr>
          <w:p w:rsidR="006957F9" w:rsidRPr="00DB5703" w:rsidRDefault="006957F9" w:rsidP="007F3917">
            <w:pPr>
              <w:spacing w:after="0" w:line="240" w:lineRule="auto"/>
              <w:rPr>
                <w:rFonts w:cs="Arial"/>
                <w:color w:val="333399"/>
                <w:sz w:val="18"/>
                <w:szCs w:val="18"/>
                <w:lang w:eastAsia="pl-PL"/>
              </w:rPr>
            </w:pPr>
            <w:r w:rsidRPr="00DB5703">
              <w:rPr>
                <w:rFonts w:cs="Arial"/>
                <w:color w:val="333399"/>
                <w:sz w:val="18"/>
                <w:szCs w:val="18"/>
                <w:lang w:eastAsia="pl-PL"/>
              </w:rPr>
              <w:t>Uwagi interpretacyjne</w:t>
            </w:r>
          </w:p>
        </w:tc>
        <w:tc>
          <w:tcPr>
            <w:tcW w:w="6626" w:type="dxa"/>
            <w:shd w:val="pct5" w:color="auto" w:fill="auto"/>
            <w:vAlign w:val="center"/>
          </w:tcPr>
          <w:p w:rsidR="006957F9" w:rsidRPr="00DB5703" w:rsidRDefault="006957F9" w:rsidP="007F3917">
            <w:pPr>
              <w:spacing w:after="0" w:line="240" w:lineRule="auto"/>
              <w:rPr>
                <w:rFonts w:cs="Arial"/>
                <w:color w:val="333399"/>
                <w:sz w:val="18"/>
                <w:szCs w:val="18"/>
                <w:lang w:eastAsia="pl-PL"/>
              </w:rPr>
            </w:pPr>
            <w:r w:rsidRPr="0096105B">
              <w:rPr>
                <w:rFonts w:cs="Arial"/>
                <w:color w:val="333399"/>
                <w:sz w:val="18"/>
                <w:szCs w:val="18"/>
                <w:lang w:eastAsia="pl-PL"/>
              </w:rPr>
              <w:t>Nie dotyczy</w:t>
            </w:r>
          </w:p>
        </w:tc>
      </w:tr>
    </w:tbl>
    <w:p w:rsidR="00E43EAE" w:rsidRDefault="00E43EAE" w:rsidP="00066C6C">
      <w:pPr>
        <w:rPr>
          <w:b/>
          <w:sz w:val="24"/>
        </w:rPr>
      </w:pPr>
    </w:p>
    <w:p w:rsidR="00066C6C" w:rsidRDefault="00066C6C" w:rsidP="00066C6C">
      <w:pPr>
        <w:rPr>
          <w:b/>
          <w:sz w:val="24"/>
        </w:rPr>
      </w:pPr>
      <w:r w:rsidRPr="00066C6C">
        <w:rPr>
          <w:b/>
          <w:sz w:val="24"/>
        </w:rPr>
        <w:t>Wskaźnik</w:t>
      </w:r>
      <w:r>
        <w:rPr>
          <w:b/>
          <w:sz w:val="24"/>
        </w:rPr>
        <w:t>i</w:t>
      </w:r>
      <w:r w:rsidRPr="00066C6C">
        <w:rPr>
          <w:b/>
          <w:sz w:val="24"/>
        </w:rPr>
        <w:t xml:space="preserve"> rezultatu bezpośredniego: </w:t>
      </w: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4"/>
        <w:gridCol w:w="6628"/>
      </w:tblGrid>
      <w:tr w:rsidR="00353579" w:rsidRPr="00066C6C" w:rsidTr="007F3917">
        <w:tc>
          <w:tcPr>
            <w:tcW w:w="2414" w:type="dxa"/>
            <w:shd w:val="pct5" w:color="auto" w:fill="auto"/>
            <w:vAlign w:val="center"/>
          </w:tcPr>
          <w:p w:rsidR="00353579" w:rsidRPr="00066C6C" w:rsidRDefault="00353579" w:rsidP="007F3917">
            <w:pPr>
              <w:spacing w:after="0" w:line="240" w:lineRule="auto"/>
              <w:rPr>
                <w:rFonts w:cs="Arial"/>
                <w:b/>
                <w:color w:val="333399"/>
                <w:sz w:val="18"/>
                <w:szCs w:val="18"/>
                <w:lang w:eastAsia="pl-PL"/>
              </w:rPr>
            </w:pPr>
            <w:r w:rsidRPr="00066C6C">
              <w:rPr>
                <w:rFonts w:cs="Arial"/>
                <w:b/>
                <w:color w:val="333399"/>
                <w:sz w:val="18"/>
                <w:szCs w:val="18"/>
                <w:lang w:eastAsia="pl-PL"/>
              </w:rPr>
              <w:t>Nazwa wskaźnika</w:t>
            </w:r>
          </w:p>
        </w:tc>
        <w:tc>
          <w:tcPr>
            <w:tcW w:w="6628" w:type="dxa"/>
            <w:shd w:val="pct5" w:color="auto" w:fill="auto"/>
            <w:vAlign w:val="center"/>
          </w:tcPr>
          <w:p w:rsidR="00353579" w:rsidRPr="00066C6C" w:rsidRDefault="00353579" w:rsidP="007F3917">
            <w:pPr>
              <w:spacing w:after="0" w:line="240" w:lineRule="auto"/>
              <w:rPr>
                <w:rFonts w:cs="Arial"/>
                <w:b/>
                <w:color w:val="333399"/>
                <w:sz w:val="18"/>
                <w:szCs w:val="18"/>
                <w:lang w:eastAsia="pl-PL"/>
              </w:rPr>
            </w:pPr>
            <w:r w:rsidRPr="00066C6C">
              <w:rPr>
                <w:rFonts w:cs="Arial"/>
                <w:b/>
                <w:color w:val="333399"/>
                <w:sz w:val="18"/>
                <w:szCs w:val="18"/>
                <w:lang w:eastAsia="pl-PL"/>
              </w:rPr>
              <w:t>Szacowany</w:t>
            </w:r>
            <w:r>
              <w:rPr>
                <w:rFonts w:cs="Arial"/>
                <w:b/>
                <w:color w:val="333399"/>
                <w:sz w:val="18"/>
                <w:szCs w:val="18"/>
                <w:lang w:eastAsia="pl-PL"/>
              </w:rPr>
              <w:t xml:space="preserve"> roczny</w:t>
            </w:r>
            <w:r w:rsidRPr="00066C6C">
              <w:rPr>
                <w:rFonts w:cs="Arial"/>
                <w:b/>
                <w:color w:val="333399"/>
                <w:sz w:val="18"/>
                <w:szCs w:val="18"/>
                <w:lang w:eastAsia="pl-PL"/>
              </w:rPr>
              <w:t xml:space="preserve"> spadek emisji gazów cieplarnianych [tony równoważnika CO2</w:t>
            </w:r>
            <w:r>
              <w:rPr>
                <w:rFonts w:cs="Arial"/>
                <w:b/>
                <w:color w:val="333399"/>
                <w:sz w:val="18"/>
                <w:szCs w:val="18"/>
                <w:lang w:eastAsia="pl-PL"/>
              </w:rPr>
              <w:t>/rok</w:t>
            </w:r>
            <w:r w:rsidRPr="00066C6C">
              <w:rPr>
                <w:rFonts w:cs="Arial"/>
                <w:b/>
                <w:color w:val="333399"/>
                <w:sz w:val="18"/>
                <w:szCs w:val="18"/>
                <w:lang w:eastAsia="pl-PL"/>
              </w:rPr>
              <w:t>]</w:t>
            </w:r>
          </w:p>
        </w:tc>
      </w:tr>
      <w:tr w:rsidR="00353579" w:rsidRPr="00066C6C" w:rsidTr="007F3917">
        <w:tc>
          <w:tcPr>
            <w:tcW w:w="2414" w:type="dxa"/>
            <w:shd w:val="pct5" w:color="auto" w:fill="auto"/>
            <w:vAlign w:val="center"/>
          </w:tcPr>
          <w:p w:rsidR="00353579" w:rsidRPr="00066C6C" w:rsidRDefault="00353579" w:rsidP="007F3917">
            <w:pPr>
              <w:spacing w:after="0" w:line="240" w:lineRule="auto"/>
              <w:rPr>
                <w:rFonts w:cs="Arial"/>
                <w:color w:val="333399"/>
                <w:sz w:val="18"/>
                <w:szCs w:val="18"/>
                <w:lang w:eastAsia="pl-PL"/>
              </w:rPr>
            </w:pPr>
            <w:r w:rsidRPr="00066C6C">
              <w:rPr>
                <w:rFonts w:cs="Arial"/>
                <w:color w:val="333399"/>
                <w:sz w:val="18"/>
                <w:szCs w:val="18"/>
                <w:lang w:eastAsia="pl-PL"/>
              </w:rPr>
              <w:t>Definicja wskaźnika</w:t>
            </w:r>
          </w:p>
        </w:tc>
        <w:tc>
          <w:tcPr>
            <w:tcW w:w="6628" w:type="dxa"/>
            <w:shd w:val="pct5" w:color="auto" w:fill="auto"/>
            <w:vAlign w:val="center"/>
          </w:tcPr>
          <w:p w:rsidR="00353579" w:rsidRPr="00066C6C" w:rsidRDefault="00353579" w:rsidP="007F3917">
            <w:pPr>
              <w:autoSpaceDE w:val="0"/>
              <w:autoSpaceDN w:val="0"/>
              <w:adjustRightInd w:val="0"/>
              <w:spacing w:before="120" w:after="0" w:line="240" w:lineRule="auto"/>
              <w:jc w:val="both"/>
              <w:rPr>
                <w:rFonts w:cs="Arial"/>
                <w:color w:val="333399"/>
                <w:sz w:val="18"/>
                <w:szCs w:val="18"/>
                <w:lang w:val="en-US" w:eastAsia="pl-PL"/>
              </w:rPr>
            </w:pPr>
            <w:r w:rsidRPr="00066C6C">
              <w:rPr>
                <w:rFonts w:cs="Arial"/>
                <w:color w:val="333399"/>
                <w:sz w:val="18"/>
                <w:szCs w:val="18"/>
                <w:lang w:eastAsia="pl-PL"/>
              </w:rPr>
              <w:t>Nie dotyczy</w:t>
            </w:r>
          </w:p>
        </w:tc>
      </w:tr>
      <w:tr w:rsidR="00353579" w:rsidRPr="00066C6C" w:rsidTr="007F3917">
        <w:tc>
          <w:tcPr>
            <w:tcW w:w="2414" w:type="dxa"/>
            <w:shd w:val="pct5" w:color="auto" w:fill="auto"/>
            <w:vAlign w:val="center"/>
          </w:tcPr>
          <w:p w:rsidR="00353579" w:rsidRPr="00066C6C" w:rsidRDefault="00353579" w:rsidP="007F3917">
            <w:pPr>
              <w:spacing w:after="0" w:line="240" w:lineRule="auto"/>
              <w:rPr>
                <w:rFonts w:cs="Arial"/>
                <w:color w:val="333399"/>
                <w:sz w:val="18"/>
                <w:szCs w:val="18"/>
                <w:lang w:eastAsia="pl-PL"/>
              </w:rPr>
            </w:pPr>
            <w:r w:rsidRPr="00066C6C">
              <w:rPr>
                <w:rFonts w:cs="Arial"/>
                <w:color w:val="333399"/>
                <w:sz w:val="18"/>
                <w:szCs w:val="18"/>
                <w:lang w:eastAsia="pl-PL"/>
              </w:rPr>
              <w:t>Informacje o dostępnych danych i wskaźnikach występujących w statystyce publicznej</w:t>
            </w:r>
          </w:p>
        </w:tc>
        <w:tc>
          <w:tcPr>
            <w:tcW w:w="6628" w:type="dxa"/>
            <w:shd w:val="pct5" w:color="auto" w:fill="auto"/>
            <w:vAlign w:val="center"/>
          </w:tcPr>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 xml:space="preserve">Założenia do obliczenia redukcji emisji CO2 w obszarach objętych audytem: </w:t>
            </w: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 xml:space="preserve">a) Redukcja  emisji  CO2,  jako różnica  całkowitej  emisji  CO2 w  budynku/budynkach  przed  przeprowadzeniem  modernizacji  i  po  jej  przeprowadzeniu  obliczana z  uwzględnieniem wyliczonego  zapotrzebowania  na  energię  końcową  w  każdym  budynku,  w  podziale  na  stosowane nośniki energii oraz odpowiadające im wskaźniki emisji CO2 , </w:t>
            </w:r>
          </w:p>
          <w:p w:rsidR="00353579" w:rsidRPr="000D3872" w:rsidRDefault="00353579" w:rsidP="007F3917">
            <w:pPr>
              <w:spacing w:after="0" w:line="240" w:lineRule="auto"/>
              <w:rPr>
                <w:rFonts w:cs="Arial"/>
                <w:color w:val="333399"/>
                <w:sz w:val="18"/>
                <w:szCs w:val="18"/>
                <w:lang w:eastAsia="pl-PL"/>
              </w:rPr>
            </w:pP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 xml:space="preserve">b) wskaźniki  emisji  CO2 wyznaczane  zgodnie  z  metodologia  przyjętą  w  </w:t>
            </w:r>
            <w:r w:rsidRPr="000D3872">
              <w:rPr>
                <w:rFonts w:cs="Arial"/>
                <w:color w:val="333399"/>
                <w:sz w:val="18"/>
                <w:szCs w:val="18"/>
                <w:lang w:eastAsia="pl-PL"/>
              </w:rPr>
              <w:lastRenderedPageBreak/>
              <w:t>Rozporządzeniu  Ministra   Infrastruktury   i   Rozwoju   w   sprawie   metodologii   wyznaczania   charakterystyki  energetycznej budynku lub części budynku oraz świadectw charakterystyki energetycznej  z dnia  27  lutego  2015  r.  (</w:t>
            </w:r>
            <w:proofErr w:type="spellStart"/>
            <w:r w:rsidRPr="000D3872">
              <w:rPr>
                <w:rFonts w:cs="Arial"/>
                <w:color w:val="333399"/>
                <w:sz w:val="18"/>
                <w:szCs w:val="18"/>
                <w:lang w:eastAsia="pl-PL"/>
              </w:rPr>
              <w:t>Dz.U</w:t>
            </w:r>
            <w:proofErr w:type="spellEnd"/>
            <w:r w:rsidRPr="000D3872">
              <w:rPr>
                <w:rFonts w:cs="Arial"/>
                <w:color w:val="333399"/>
                <w:sz w:val="18"/>
                <w:szCs w:val="18"/>
                <w:lang w:eastAsia="pl-PL"/>
              </w:rPr>
              <w:t xml:space="preserve">.  z  2015  r.  poz.  376)  – załącznik  nr  1,  pkt.  6.1.2,  (w  tym  zgodnie  z  opracowaniem  aktualnym  na  dany  rok,  opublikowanym przez Krajowy Ośrodek  Bilansowania i Zarządzania   Emisjami  http://www.kobize.pl/pl/article/monitorowanie-raportowanie-weryfikacja-emisji/id/318/tabele-wo-i-we ), </w:t>
            </w:r>
          </w:p>
          <w:p w:rsidR="00353579" w:rsidRPr="000D3872" w:rsidRDefault="00353579" w:rsidP="007F3917">
            <w:pPr>
              <w:spacing w:after="0" w:line="240" w:lineRule="auto"/>
              <w:rPr>
                <w:rFonts w:cs="Arial"/>
                <w:color w:val="333399"/>
                <w:sz w:val="18"/>
                <w:szCs w:val="18"/>
                <w:lang w:eastAsia="pl-PL"/>
              </w:rPr>
            </w:pP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 xml:space="preserve">c) dla  energii  elektrycznej  pobieranej  z  krajowego  systemu  elektroenergetycznego  (KSE)  należy stosować wskaźnik emisji CO2 zgodnie  z  komunikatem </w:t>
            </w:r>
            <w:proofErr w:type="spellStart"/>
            <w:r w:rsidRPr="000D3872">
              <w:rPr>
                <w:rFonts w:cs="Arial"/>
                <w:color w:val="333399"/>
                <w:sz w:val="18"/>
                <w:szCs w:val="18"/>
                <w:lang w:eastAsia="pl-PL"/>
              </w:rPr>
              <w:t>KOBiZE</w:t>
            </w:r>
            <w:proofErr w:type="spellEnd"/>
            <w:r w:rsidRPr="000D3872">
              <w:rPr>
                <w:rFonts w:cs="Arial"/>
                <w:color w:val="333399"/>
                <w:sz w:val="18"/>
                <w:szCs w:val="18"/>
                <w:lang w:eastAsia="pl-PL"/>
              </w:rPr>
              <w:t xml:space="preserve"> (aktualny  na  dany  rok) :  http://www.kobize.pl/pl/article/2014/id/569/komunikat-dotyczacy-emisji-dwutlenku-wegla-przypadajacej-na-1-mwh-energii-elektrycznej , </w:t>
            </w:r>
          </w:p>
          <w:p w:rsidR="00353579" w:rsidRPr="000D3872" w:rsidRDefault="00353579" w:rsidP="007F3917">
            <w:pPr>
              <w:spacing w:after="0" w:line="240" w:lineRule="auto"/>
              <w:rPr>
                <w:rFonts w:cs="Arial"/>
                <w:color w:val="333399"/>
                <w:sz w:val="18"/>
                <w:szCs w:val="18"/>
                <w:lang w:eastAsia="pl-PL"/>
              </w:rPr>
            </w:pP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d) w  przypadku  zużycia  energii  pochodzącej  z  zewnętrznego  źródła  ciepła  (miejska  sieć  ciepłownicza   itp.   z   wyłączeniem   lokalnych   kotłowni   usytuowanych   poza  budynkiem /budynkami   ogrzewanymi)   należy  zastosować   współczynniki   nakładu  nieodnawialnej energii pierwotnej zgodnie z tabelą nr 1 Załącznika nr 1 do  Rozporządzenia  Ministra  Infrastruktury  i  Rozwoju  z  dnia  27  lutego  2015  r.  (</w:t>
            </w:r>
            <w:proofErr w:type="spellStart"/>
            <w:r w:rsidRPr="000D3872">
              <w:rPr>
                <w:rFonts w:cs="Arial"/>
                <w:color w:val="333399"/>
                <w:sz w:val="18"/>
                <w:szCs w:val="18"/>
                <w:lang w:eastAsia="pl-PL"/>
              </w:rPr>
              <w:t>Dz.U</w:t>
            </w:r>
            <w:proofErr w:type="spellEnd"/>
            <w:r w:rsidRPr="000D3872">
              <w:rPr>
                <w:rFonts w:cs="Arial"/>
                <w:color w:val="333399"/>
                <w:sz w:val="18"/>
                <w:szCs w:val="18"/>
                <w:lang w:eastAsia="pl-PL"/>
              </w:rPr>
              <w:t xml:space="preserve">.  2015  r.  poz.  376) .  W przypadku,  gdy  operator  ciepłowni/elektrociepłowni  podaje  informację  o  wskaźniku  nieodnawialnej energii pierwotnej na ciepło należy załączyć odpowiedni dokument. </w:t>
            </w:r>
          </w:p>
          <w:p w:rsidR="00353579" w:rsidRPr="000D3872" w:rsidRDefault="00353579" w:rsidP="007F3917">
            <w:pPr>
              <w:spacing w:after="0" w:line="240" w:lineRule="auto"/>
              <w:rPr>
                <w:rFonts w:cs="Arial"/>
                <w:color w:val="333399"/>
                <w:sz w:val="18"/>
                <w:szCs w:val="18"/>
                <w:lang w:eastAsia="pl-PL"/>
              </w:rPr>
            </w:pP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 xml:space="preserve">e) emisja  CO2 ze  spalania  biomasy  nie  wlicza  się do  sumy  emisji  ze  spalania paliw,  zgodnie zasadami Wspólnotowego handlu uprawnieniami do emisji oraz IPCC. Podejście  to  jest  równoważne stosowaniu zerowego wskaźnika emisji dla biomasy. </w:t>
            </w:r>
          </w:p>
          <w:p w:rsidR="00353579" w:rsidRPr="000D3872" w:rsidRDefault="00353579" w:rsidP="007F3917">
            <w:pPr>
              <w:spacing w:after="0" w:line="240" w:lineRule="auto"/>
              <w:rPr>
                <w:rFonts w:cs="Arial"/>
                <w:color w:val="333399"/>
                <w:sz w:val="18"/>
                <w:szCs w:val="18"/>
                <w:lang w:eastAsia="pl-PL"/>
              </w:rPr>
            </w:pP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f) w  przypadku likwidacji  indywidualnych węglowych źródeł ciepła i podłączania odbiorców do  sieci  ciepłowniczych  zasilanych  ze  źródeł  powyżej  50  MW  wielkość redukcji  należy  wyznaczyć w oparciu o wskaźniki uwzględniając dominujące paliwo jakim jest opalane źródło  zasilające sieć ciepłowniczą.</w:t>
            </w: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 xml:space="preserve">Wskaźniki emisji dla źródeł ciepła  powyżej 50 MW:  </w:t>
            </w: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jednostka                               kg/GJ</w:t>
            </w: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 xml:space="preserve">Węgiel  kamienny                 93,80           </w:t>
            </w: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 xml:space="preserve">Węgiel  brunatny                  110,55          </w:t>
            </w: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 xml:space="preserve">Gaz ziemny                            56,10            </w:t>
            </w:r>
          </w:p>
          <w:p w:rsidR="00353579" w:rsidRPr="000D3872"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Olej opałowy                         77,40</w:t>
            </w:r>
          </w:p>
          <w:p w:rsidR="00353579" w:rsidRPr="00066C6C" w:rsidRDefault="00353579" w:rsidP="007F3917">
            <w:pPr>
              <w:spacing w:after="0" w:line="240" w:lineRule="auto"/>
              <w:rPr>
                <w:rFonts w:cs="Arial"/>
                <w:color w:val="333399"/>
                <w:sz w:val="18"/>
                <w:szCs w:val="18"/>
                <w:lang w:eastAsia="pl-PL"/>
              </w:rPr>
            </w:pPr>
            <w:r w:rsidRPr="000D3872">
              <w:rPr>
                <w:rFonts w:cs="Arial"/>
                <w:color w:val="333399"/>
                <w:sz w:val="18"/>
                <w:szCs w:val="18"/>
                <w:lang w:eastAsia="pl-PL"/>
              </w:rPr>
              <w:t>Biomasa                                  0</w:t>
            </w:r>
          </w:p>
        </w:tc>
      </w:tr>
      <w:tr w:rsidR="00353579" w:rsidRPr="00066C6C" w:rsidTr="007F3917">
        <w:trPr>
          <w:trHeight w:val="1176"/>
        </w:trPr>
        <w:tc>
          <w:tcPr>
            <w:tcW w:w="2414" w:type="dxa"/>
            <w:shd w:val="pct5" w:color="auto" w:fill="auto"/>
            <w:vAlign w:val="center"/>
          </w:tcPr>
          <w:p w:rsidR="00353579" w:rsidRPr="00066C6C" w:rsidRDefault="00353579" w:rsidP="007F3917">
            <w:pPr>
              <w:spacing w:after="0" w:line="240" w:lineRule="auto"/>
              <w:rPr>
                <w:rFonts w:cs="Arial"/>
                <w:color w:val="333399"/>
                <w:sz w:val="18"/>
                <w:szCs w:val="18"/>
                <w:lang w:eastAsia="pl-PL"/>
              </w:rPr>
            </w:pPr>
            <w:r w:rsidRPr="00066C6C">
              <w:rPr>
                <w:rFonts w:cs="Arial"/>
                <w:color w:val="333399"/>
                <w:sz w:val="18"/>
                <w:szCs w:val="18"/>
                <w:lang w:eastAsia="pl-PL"/>
              </w:rPr>
              <w:lastRenderedPageBreak/>
              <w:t>Uwagi interpretacyjne</w:t>
            </w:r>
          </w:p>
        </w:tc>
        <w:tc>
          <w:tcPr>
            <w:tcW w:w="6628" w:type="dxa"/>
            <w:shd w:val="pct5" w:color="auto" w:fill="auto"/>
            <w:vAlign w:val="center"/>
          </w:tcPr>
          <w:p w:rsidR="00353579" w:rsidRPr="00066C6C" w:rsidRDefault="00353579" w:rsidP="007F3917">
            <w:pPr>
              <w:spacing w:after="0" w:line="240" w:lineRule="auto"/>
              <w:rPr>
                <w:rFonts w:cs="Arial"/>
                <w:color w:val="333399"/>
                <w:sz w:val="18"/>
                <w:szCs w:val="18"/>
                <w:lang w:eastAsia="pl-PL"/>
              </w:rPr>
            </w:pPr>
            <w:r w:rsidRPr="00066C6C">
              <w:rPr>
                <w:rFonts w:cs="Arial"/>
                <w:color w:val="333399"/>
                <w:sz w:val="18"/>
                <w:szCs w:val="18"/>
                <w:lang w:eastAsia="pl-PL"/>
              </w:rPr>
              <w:t>Podana szacunkowa wartość spadku emisji gazów cieplarnianych wynika wyłącznie z przeprowadzonych w tym zakresie działań, nie uwzględnia szacowanego spadku  spowodowanego innymi czynnikami (np. ograniczeniem produkcji lub zmiany jej profilu).</w:t>
            </w:r>
          </w:p>
          <w:p w:rsidR="00353579" w:rsidRPr="00066C6C" w:rsidRDefault="00353579" w:rsidP="007F3917">
            <w:pPr>
              <w:spacing w:after="0" w:line="240" w:lineRule="auto"/>
              <w:rPr>
                <w:rFonts w:cs="Arial"/>
                <w:color w:val="333399"/>
                <w:sz w:val="18"/>
                <w:szCs w:val="18"/>
                <w:lang w:eastAsia="pl-PL"/>
              </w:rPr>
            </w:pPr>
            <w:r w:rsidRPr="00066C6C">
              <w:rPr>
                <w:rFonts w:cs="Arial"/>
                <w:color w:val="333399"/>
                <w:sz w:val="18"/>
                <w:szCs w:val="18"/>
                <w:lang w:eastAsia="pl-PL"/>
              </w:rPr>
              <w:t>Dane dotyczące emisji gazów cieplarnianych publikowane są przez różne instytucje, polskie i europejskie – warto sprawdzać, czy publikowane przez nie dane wzajemnie sobie odpowiadają</w:t>
            </w:r>
            <w:r>
              <w:rPr>
                <w:rFonts w:cs="Arial"/>
                <w:color w:val="333399"/>
                <w:sz w:val="18"/>
                <w:szCs w:val="18"/>
                <w:lang w:eastAsia="pl-PL"/>
              </w:rPr>
              <w:t>.</w:t>
            </w:r>
            <w:r w:rsidRPr="00066C6C">
              <w:rPr>
                <w:rFonts w:cs="Arial"/>
                <w:color w:val="333399"/>
                <w:sz w:val="18"/>
                <w:szCs w:val="18"/>
                <w:lang w:eastAsia="pl-PL"/>
              </w:rPr>
              <w:t xml:space="preserve"> </w:t>
            </w:r>
          </w:p>
        </w:tc>
      </w:tr>
    </w:tbl>
    <w:p w:rsidR="00F725A4" w:rsidRDefault="00F725A4">
      <w:pPr>
        <w:rPr>
          <w:rFonts w:cs="Arial"/>
          <w:sz w:val="20"/>
          <w:szCs w:val="20"/>
        </w:rPr>
      </w:pP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4"/>
        <w:gridCol w:w="6628"/>
      </w:tblGrid>
      <w:tr w:rsidR="00353579" w:rsidRPr="00F725A4" w:rsidTr="007F3917">
        <w:tc>
          <w:tcPr>
            <w:tcW w:w="2414" w:type="dxa"/>
            <w:shd w:val="pct5" w:color="auto" w:fill="auto"/>
            <w:vAlign w:val="center"/>
          </w:tcPr>
          <w:p w:rsidR="00353579" w:rsidRPr="00F725A4" w:rsidRDefault="00353579" w:rsidP="007F3917">
            <w:pPr>
              <w:spacing w:after="0" w:line="240" w:lineRule="auto"/>
              <w:rPr>
                <w:rFonts w:cs="Arial"/>
                <w:b/>
                <w:color w:val="333399"/>
                <w:sz w:val="18"/>
                <w:szCs w:val="18"/>
                <w:lang w:eastAsia="pl-PL"/>
              </w:rPr>
            </w:pPr>
            <w:r w:rsidRPr="00F725A4">
              <w:rPr>
                <w:rFonts w:cs="Arial"/>
                <w:b/>
                <w:color w:val="333399"/>
                <w:sz w:val="18"/>
                <w:szCs w:val="18"/>
                <w:lang w:eastAsia="pl-PL"/>
              </w:rPr>
              <w:t>Nazwa wskaźnika</w:t>
            </w:r>
          </w:p>
        </w:tc>
        <w:tc>
          <w:tcPr>
            <w:tcW w:w="6628" w:type="dxa"/>
            <w:shd w:val="pct5" w:color="auto" w:fill="auto"/>
            <w:vAlign w:val="center"/>
          </w:tcPr>
          <w:p w:rsidR="00353579" w:rsidRPr="00F725A4" w:rsidRDefault="00353579" w:rsidP="007F3917">
            <w:pPr>
              <w:rPr>
                <w:rFonts w:cs="Arial"/>
                <w:b/>
                <w:color w:val="333399"/>
                <w:sz w:val="18"/>
                <w:szCs w:val="18"/>
                <w:lang w:eastAsia="pl-PL"/>
              </w:rPr>
            </w:pPr>
            <w:r w:rsidRPr="00F725A4">
              <w:rPr>
                <w:rFonts w:cs="Arial"/>
                <w:b/>
                <w:color w:val="333399"/>
                <w:sz w:val="18"/>
                <w:szCs w:val="18"/>
                <w:lang w:eastAsia="pl-PL"/>
              </w:rPr>
              <w:t xml:space="preserve">Zmniejszenie </w:t>
            </w:r>
            <w:r>
              <w:rPr>
                <w:rFonts w:cs="Arial"/>
                <w:b/>
                <w:color w:val="333399"/>
                <w:sz w:val="18"/>
                <w:szCs w:val="18"/>
                <w:lang w:eastAsia="pl-PL"/>
              </w:rPr>
              <w:t xml:space="preserve">rocznego </w:t>
            </w:r>
            <w:r w:rsidRPr="00F725A4">
              <w:rPr>
                <w:rFonts w:cs="Arial"/>
                <w:b/>
                <w:color w:val="333399"/>
                <w:sz w:val="18"/>
                <w:szCs w:val="18"/>
                <w:lang w:eastAsia="pl-PL"/>
              </w:rPr>
              <w:t>zuży</w:t>
            </w:r>
            <w:r>
              <w:rPr>
                <w:rFonts w:cs="Arial"/>
                <w:b/>
                <w:color w:val="333399"/>
                <w:sz w:val="18"/>
                <w:szCs w:val="18"/>
                <w:lang w:eastAsia="pl-PL"/>
              </w:rPr>
              <w:t>c</w:t>
            </w:r>
            <w:r w:rsidRPr="00F725A4">
              <w:rPr>
                <w:rFonts w:cs="Arial"/>
                <w:b/>
                <w:color w:val="333399"/>
                <w:sz w:val="18"/>
                <w:szCs w:val="18"/>
                <w:lang w:eastAsia="pl-PL"/>
              </w:rPr>
              <w:t>ia energii pierwotnej w budynkach publicznych [</w:t>
            </w:r>
            <w:proofErr w:type="spellStart"/>
            <w:r w:rsidRPr="00F725A4">
              <w:rPr>
                <w:rFonts w:cs="Arial"/>
                <w:b/>
                <w:color w:val="333399"/>
                <w:sz w:val="18"/>
                <w:szCs w:val="18"/>
                <w:lang w:eastAsia="pl-PL"/>
              </w:rPr>
              <w:t>kWh</w:t>
            </w:r>
            <w:proofErr w:type="spellEnd"/>
            <w:r w:rsidRPr="00F725A4">
              <w:rPr>
                <w:rFonts w:cs="Arial"/>
                <w:b/>
                <w:color w:val="333399"/>
                <w:sz w:val="18"/>
                <w:szCs w:val="18"/>
                <w:lang w:eastAsia="pl-PL"/>
              </w:rPr>
              <w:t>/rok],</w:t>
            </w:r>
          </w:p>
        </w:tc>
      </w:tr>
      <w:tr w:rsidR="00353579" w:rsidRPr="00F725A4" w:rsidTr="007F3917">
        <w:tc>
          <w:tcPr>
            <w:tcW w:w="2414" w:type="dxa"/>
            <w:shd w:val="pct5" w:color="auto" w:fill="auto"/>
            <w:vAlign w:val="center"/>
          </w:tcPr>
          <w:p w:rsidR="00353579" w:rsidRPr="00F725A4" w:rsidRDefault="00353579" w:rsidP="007F3917">
            <w:pPr>
              <w:spacing w:after="0" w:line="240" w:lineRule="auto"/>
              <w:rPr>
                <w:rFonts w:cs="Arial"/>
                <w:color w:val="333399"/>
                <w:sz w:val="18"/>
                <w:szCs w:val="18"/>
                <w:lang w:eastAsia="pl-PL"/>
              </w:rPr>
            </w:pPr>
            <w:r w:rsidRPr="00F725A4">
              <w:rPr>
                <w:rFonts w:cs="Arial"/>
                <w:color w:val="333399"/>
                <w:sz w:val="18"/>
                <w:szCs w:val="18"/>
                <w:lang w:eastAsia="pl-PL"/>
              </w:rPr>
              <w:t>Definicja wskaźnika</w:t>
            </w:r>
          </w:p>
        </w:tc>
        <w:tc>
          <w:tcPr>
            <w:tcW w:w="6628" w:type="dxa"/>
            <w:shd w:val="pct5" w:color="auto" w:fill="auto"/>
            <w:vAlign w:val="center"/>
          </w:tcPr>
          <w:p w:rsidR="00353579" w:rsidRPr="00F725A4" w:rsidRDefault="00353579" w:rsidP="007F3917">
            <w:pPr>
              <w:spacing w:after="0" w:line="240" w:lineRule="auto"/>
              <w:rPr>
                <w:rFonts w:cs="Arial"/>
                <w:color w:val="333399"/>
                <w:sz w:val="18"/>
                <w:szCs w:val="18"/>
                <w:lang w:val="en-US" w:eastAsia="pl-PL"/>
              </w:rPr>
            </w:pPr>
            <w:r w:rsidRPr="00F725A4">
              <w:rPr>
                <w:rFonts w:cs="Arial"/>
                <w:color w:val="333399"/>
                <w:sz w:val="18"/>
                <w:szCs w:val="18"/>
                <w:lang w:eastAsia="pl-PL"/>
              </w:rPr>
              <w:t>Nie dotyczy</w:t>
            </w:r>
          </w:p>
        </w:tc>
      </w:tr>
      <w:tr w:rsidR="00353579" w:rsidRPr="00F725A4" w:rsidTr="007F3917">
        <w:tc>
          <w:tcPr>
            <w:tcW w:w="2414" w:type="dxa"/>
            <w:shd w:val="pct5" w:color="auto" w:fill="auto"/>
            <w:vAlign w:val="center"/>
          </w:tcPr>
          <w:p w:rsidR="00353579" w:rsidRPr="00F725A4" w:rsidRDefault="00353579" w:rsidP="007F3917">
            <w:pPr>
              <w:spacing w:after="0" w:line="240" w:lineRule="auto"/>
              <w:rPr>
                <w:rFonts w:cs="Arial"/>
                <w:color w:val="333399"/>
                <w:sz w:val="18"/>
                <w:szCs w:val="18"/>
                <w:lang w:eastAsia="pl-PL"/>
              </w:rPr>
            </w:pPr>
            <w:r w:rsidRPr="00F725A4">
              <w:rPr>
                <w:rFonts w:cs="Arial"/>
                <w:color w:val="333399"/>
                <w:sz w:val="18"/>
                <w:szCs w:val="18"/>
                <w:lang w:eastAsia="pl-PL"/>
              </w:rPr>
              <w:t>Informacje o dostępnych danych i wskaźnikach występujących w statystyce publicznej</w:t>
            </w:r>
          </w:p>
        </w:tc>
        <w:tc>
          <w:tcPr>
            <w:tcW w:w="6628" w:type="dxa"/>
            <w:shd w:val="pct5" w:color="auto" w:fill="auto"/>
            <w:vAlign w:val="center"/>
          </w:tcPr>
          <w:p w:rsidR="00353579" w:rsidRPr="00F725A4" w:rsidRDefault="00353579" w:rsidP="007F3917">
            <w:pPr>
              <w:spacing w:after="0" w:line="240" w:lineRule="auto"/>
              <w:rPr>
                <w:rFonts w:cs="Arial"/>
                <w:color w:val="333399"/>
                <w:sz w:val="18"/>
                <w:szCs w:val="18"/>
                <w:lang w:eastAsia="pl-PL"/>
              </w:rPr>
            </w:pPr>
            <w:r w:rsidRPr="00F725A4">
              <w:rPr>
                <w:rFonts w:cs="Arial"/>
                <w:color w:val="333399"/>
                <w:sz w:val="18"/>
                <w:szCs w:val="18"/>
                <w:lang w:eastAsia="pl-PL"/>
              </w:rPr>
              <w:t>GUS zbiera i udostępnia następujące dane:</w:t>
            </w:r>
          </w:p>
          <w:p w:rsidR="00353579" w:rsidRPr="00F725A4" w:rsidRDefault="00353579" w:rsidP="007F3917">
            <w:pPr>
              <w:spacing w:after="0" w:line="240" w:lineRule="auto"/>
              <w:rPr>
                <w:rFonts w:cs="Arial"/>
                <w:color w:val="333399"/>
                <w:sz w:val="18"/>
                <w:szCs w:val="18"/>
                <w:lang w:eastAsia="pl-PL"/>
              </w:rPr>
            </w:pPr>
            <w:r w:rsidRPr="00F725A4">
              <w:rPr>
                <w:rFonts w:cs="Arial"/>
                <w:color w:val="333399"/>
                <w:sz w:val="18"/>
                <w:szCs w:val="18"/>
                <w:lang w:eastAsia="pl-PL"/>
              </w:rPr>
              <w:t xml:space="preserve">zużycie energii pierwotnej dla całej Polski w </w:t>
            </w:r>
            <w:proofErr w:type="spellStart"/>
            <w:r w:rsidRPr="00F725A4">
              <w:rPr>
                <w:rFonts w:cs="Arial"/>
                <w:color w:val="333399"/>
                <w:sz w:val="18"/>
                <w:szCs w:val="18"/>
                <w:lang w:eastAsia="pl-PL"/>
              </w:rPr>
              <w:t>Mtoe</w:t>
            </w:r>
            <w:proofErr w:type="spellEnd"/>
            <w:r w:rsidRPr="00F725A4">
              <w:rPr>
                <w:rFonts w:cs="Arial"/>
                <w:color w:val="333399"/>
                <w:sz w:val="18"/>
                <w:szCs w:val="18"/>
                <w:lang w:eastAsia="pl-PL"/>
              </w:rPr>
              <w:t xml:space="preserve"> [milionach ton oleju ekwiwalentnego] (folder „Energia” oraz publikacja tematyczna: „Efektywność wykorzystania energii w</w:t>
            </w:r>
            <w:r>
              <w:rPr>
                <w:rFonts w:cs="Arial"/>
                <w:color w:val="333399"/>
                <w:sz w:val="18"/>
                <w:szCs w:val="18"/>
                <w:lang w:eastAsia="pl-PL"/>
              </w:rPr>
              <w:t xml:space="preserve"> </w:t>
            </w:r>
            <w:r w:rsidRPr="00F725A4">
              <w:rPr>
                <w:rFonts w:cs="Arial"/>
                <w:color w:val="333399"/>
                <w:sz w:val="18"/>
                <w:szCs w:val="18"/>
                <w:lang w:eastAsia="pl-PL"/>
              </w:rPr>
              <w:t>latach”).</w:t>
            </w:r>
          </w:p>
        </w:tc>
      </w:tr>
      <w:tr w:rsidR="00353579" w:rsidRPr="00F725A4" w:rsidTr="007F3917">
        <w:trPr>
          <w:trHeight w:val="1257"/>
        </w:trPr>
        <w:tc>
          <w:tcPr>
            <w:tcW w:w="2414" w:type="dxa"/>
            <w:shd w:val="pct5" w:color="auto" w:fill="auto"/>
            <w:vAlign w:val="center"/>
          </w:tcPr>
          <w:p w:rsidR="00353579" w:rsidRPr="00F725A4" w:rsidRDefault="00353579" w:rsidP="007F3917">
            <w:pPr>
              <w:spacing w:after="0" w:line="240" w:lineRule="auto"/>
              <w:rPr>
                <w:rFonts w:cs="Arial"/>
                <w:color w:val="333399"/>
                <w:sz w:val="18"/>
                <w:szCs w:val="18"/>
                <w:lang w:eastAsia="pl-PL"/>
              </w:rPr>
            </w:pPr>
            <w:r w:rsidRPr="00F725A4">
              <w:rPr>
                <w:rFonts w:cs="Arial"/>
                <w:color w:val="333399"/>
                <w:sz w:val="18"/>
                <w:szCs w:val="18"/>
                <w:lang w:eastAsia="pl-PL"/>
              </w:rPr>
              <w:t>Uwagi interpretacyjne</w:t>
            </w:r>
          </w:p>
        </w:tc>
        <w:tc>
          <w:tcPr>
            <w:tcW w:w="6628" w:type="dxa"/>
            <w:shd w:val="pct5" w:color="auto" w:fill="auto"/>
            <w:vAlign w:val="center"/>
          </w:tcPr>
          <w:p w:rsidR="00353579" w:rsidRPr="00F725A4" w:rsidRDefault="00353579" w:rsidP="007F3917">
            <w:pPr>
              <w:spacing w:after="0" w:line="240" w:lineRule="auto"/>
              <w:rPr>
                <w:rFonts w:cs="Arial"/>
                <w:color w:val="333399"/>
                <w:sz w:val="18"/>
                <w:szCs w:val="18"/>
                <w:lang w:eastAsia="pl-PL"/>
              </w:rPr>
            </w:pPr>
            <w:r w:rsidRPr="00F725A4">
              <w:rPr>
                <w:rFonts w:cs="Arial"/>
                <w:color w:val="333399"/>
                <w:sz w:val="18"/>
                <w:szCs w:val="18"/>
                <w:lang w:eastAsia="pl-PL"/>
              </w:rPr>
              <w:t>Wskaźnik obejmuje ilość zaoszczędzonej w wyniku realizacji projektu energii pierwotnej elektrycznej, cieplnej (chłodu) w ciągu 12 miesięcy po zakończeniu projektu w stosunku do roku bazowego.</w:t>
            </w:r>
          </w:p>
          <w:p w:rsidR="00353579" w:rsidRPr="00F725A4" w:rsidRDefault="00353579" w:rsidP="007F3917">
            <w:pPr>
              <w:spacing w:after="0" w:line="240" w:lineRule="auto"/>
              <w:rPr>
                <w:rFonts w:cs="Arial"/>
                <w:color w:val="333399"/>
                <w:sz w:val="18"/>
                <w:szCs w:val="18"/>
                <w:lang w:eastAsia="pl-PL"/>
              </w:rPr>
            </w:pPr>
            <w:r w:rsidRPr="00F725A4">
              <w:rPr>
                <w:rFonts w:cs="Arial"/>
                <w:color w:val="333399"/>
                <w:sz w:val="18"/>
                <w:szCs w:val="18"/>
                <w:lang w:eastAsia="pl-PL"/>
              </w:rPr>
              <w:t xml:space="preserve">Do przeliczenia jednostek miary należy przyjąć, że 1 </w:t>
            </w:r>
            <w:proofErr w:type="spellStart"/>
            <w:r w:rsidRPr="00F725A4">
              <w:rPr>
                <w:rFonts w:cs="Arial"/>
                <w:color w:val="333399"/>
                <w:sz w:val="18"/>
                <w:szCs w:val="18"/>
                <w:lang w:eastAsia="pl-PL"/>
              </w:rPr>
              <w:t>MWh</w:t>
            </w:r>
            <w:proofErr w:type="spellEnd"/>
            <w:r w:rsidRPr="00F725A4">
              <w:rPr>
                <w:rFonts w:cs="Arial"/>
                <w:color w:val="333399"/>
                <w:sz w:val="18"/>
                <w:szCs w:val="18"/>
                <w:lang w:eastAsia="pl-PL"/>
              </w:rPr>
              <w:t xml:space="preserve"> = 3,6 GJ.</w:t>
            </w:r>
          </w:p>
          <w:p w:rsidR="00353579" w:rsidRPr="00F725A4" w:rsidRDefault="00353579" w:rsidP="007F3917">
            <w:pPr>
              <w:spacing w:after="0" w:line="240" w:lineRule="auto"/>
              <w:rPr>
                <w:rFonts w:cs="Arial"/>
                <w:color w:val="333399"/>
                <w:sz w:val="18"/>
                <w:szCs w:val="18"/>
                <w:lang w:eastAsia="pl-PL"/>
              </w:rPr>
            </w:pPr>
          </w:p>
        </w:tc>
      </w:tr>
    </w:tbl>
    <w:p w:rsidR="00353579" w:rsidRDefault="00353579">
      <w:pPr>
        <w:rPr>
          <w:rFonts w:cs="Arial"/>
          <w:sz w:val="20"/>
          <w:szCs w:val="20"/>
        </w:rPr>
      </w:pPr>
    </w:p>
    <w:tbl>
      <w:tblPr>
        <w:tblpPr w:leftFromText="141" w:rightFromText="141" w:vertAnchor="text" w:tblpY="1"/>
        <w:tblOverlap w:val="neve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4F5BF2" w:rsidRPr="00066C6C" w:rsidTr="007F3917">
        <w:tc>
          <w:tcPr>
            <w:tcW w:w="2416" w:type="dxa"/>
            <w:shd w:val="pct5" w:color="auto" w:fill="auto"/>
            <w:vAlign w:val="center"/>
          </w:tcPr>
          <w:p w:rsidR="004F5BF2" w:rsidRPr="00066C6C" w:rsidRDefault="004F5BF2" w:rsidP="007F3917">
            <w:pPr>
              <w:spacing w:after="0" w:line="240" w:lineRule="auto"/>
              <w:rPr>
                <w:rFonts w:cs="Arial"/>
                <w:b/>
                <w:color w:val="333399"/>
                <w:sz w:val="18"/>
                <w:szCs w:val="18"/>
                <w:lang w:eastAsia="pl-PL"/>
              </w:rPr>
            </w:pPr>
            <w:r w:rsidRPr="00066C6C">
              <w:rPr>
                <w:rFonts w:cs="Arial"/>
                <w:b/>
                <w:color w:val="333399"/>
                <w:sz w:val="18"/>
                <w:szCs w:val="18"/>
                <w:lang w:eastAsia="pl-PL"/>
              </w:rPr>
              <w:lastRenderedPageBreak/>
              <w:t>Nazwa wskaźnika</w:t>
            </w:r>
          </w:p>
        </w:tc>
        <w:tc>
          <w:tcPr>
            <w:tcW w:w="6626" w:type="dxa"/>
            <w:shd w:val="pct5" w:color="auto" w:fill="auto"/>
            <w:vAlign w:val="center"/>
          </w:tcPr>
          <w:p w:rsidR="004F5BF2" w:rsidRPr="00F725A4" w:rsidRDefault="004F5BF2" w:rsidP="007F3917">
            <w:pPr>
              <w:spacing w:after="0" w:line="240" w:lineRule="auto"/>
              <w:rPr>
                <w:rFonts w:cs="Arial"/>
                <w:b/>
                <w:color w:val="333399"/>
                <w:sz w:val="18"/>
                <w:szCs w:val="18"/>
                <w:lang w:eastAsia="pl-PL"/>
              </w:rPr>
            </w:pPr>
            <w:r w:rsidRPr="00F725A4">
              <w:rPr>
                <w:rFonts w:cs="Arial"/>
                <w:b/>
                <w:color w:val="333399"/>
                <w:sz w:val="18"/>
                <w:szCs w:val="18"/>
                <w:lang w:eastAsia="pl-PL"/>
              </w:rPr>
              <w:t>Produk</w:t>
            </w:r>
            <w:r>
              <w:rPr>
                <w:rFonts w:cs="Arial"/>
                <w:b/>
                <w:color w:val="333399"/>
                <w:sz w:val="18"/>
                <w:szCs w:val="18"/>
                <w:lang w:eastAsia="pl-PL"/>
              </w:rPr>
              <w:t xml:space="preserve">cja energii elektrycznej z nowo </w:t>
            </w:r>
            <w:r w:rsidRPr="00F725A4">
              <w:rPr>
                <w:rFonts w:cs="Arial"/>
                <w:b/>
                <w:color w:val="333399"/>
                <w:sz w:val="18"/>
                <w:szCs w:val="18"/>
                <w:lang w:eastAsia="pl-PL"/>
              </w:rPr>
              <w:t>wybudowanych instalacji wykor</w:t>
            </w:r>
            <w:r>
              <w:rPr>
                <w:rFonts w:cs="Arial"/>
                <w:b/>
                <w:color w:val="333399"/>
                <w:sz w:val="18"/>
                <w:szCs w:val="18"/>
                <w:lang w:eastAsia="pl-PL"/>
              </w:rPr>
              <w:t>zystujących OZE [</w:t>
            </w:r>
            <w:proofErr w:type="spellStart"/>
            <w:r>
              <w:rPr>
                <w:rFonts w:cs="Arial"/>
                <w:b/>
                <w:color w:val="333399"/>
                <w:sz w:val="18"/>
                <w:szCs w:val="18"/>
                <w:lang w:eastAsia="pl-PL"/>
              </w:rPr>
              <w:t>MWhe</w:t>
            </w:r>
            <w:proofErr w:type="spellEnd"/>
            <w:r>
              <w:rPr>
                <w:rFonts w:cs="Arial"/>
                <w:b/>
                <w:color w:val="333399"/>
                <w:sz w:val="18"/>
                <w:szCs w:val="18"/>
                <w:lang w:eastAsia="pl-PL"/>
              </w:rPr>
              <w:t xml:space="preserve">/rok] / </w:t>
            </w:r>
          </w:p>
          <w:p w:rsidR="004F5BF2" w:rsidRPr="00066C6C" w:rsidRDefault="004F5BF2" w:rsidP="007F3917">
            <w:pPr>
              <w:spacing w:after="0" w:line="240" w:lineRule="auto"/>
              <w:rPr>
                <w:rFonts w:cs="Arial"/>
                <w:b/>
                <w:color w:val="333399"/>
                <w:sz w:val="18"/>
                <w:szCs w:val="18"/>
                <w:lang w:eastAsia="pl-PL"/>
              </w:rPr>
            </w:pPr>
            <w:r w:rsidRPr="00F725A4">
              <w:rPr>
                <w:rFonts w:cs="Arial"/>
                <w:b/>
                <w:color w:val="333399"/>
                <w:sz w:val="18"/>
                <w:szCs w:val="18"/>
                <w:lang w:eastAsia="pl-PL"/>
              </w:rPr>
              <w:t>Produkcja energii elektrycznej z nowych mocy wytwórczych instalacji wykorzystujących OZE [</w:t>
            </w:r>
            <w:proofErr w:type="spellStart"/>
            <w:r w:rsidRPr="00F725A4">
              <w:rPr>
                <w:rFonts w:cs="Arial"/>
                <w:b/>
                <w:color w:val="333399"/>
                <w:sz w:val="18"/>
                <w:szCs w:val="18"/>
                <w:lang w:eastAsia="pl-PL"/>
              </w:rPr>
              <w:t>MWhe</w:t>
            </w:r>
            <w:proofErr w:type="spellEnd"/>
            <w:r w:rsidRPr="00F725A4">
              <w:rPr>
                <w:rFonts w:cs="Arial"/>
                <w:b/>
                <w:color w:val="333399"/>
                <w:sz w:val="18"/>
                <w:szCs w:val="18"/>
                <w:lang w:eastAsia="pl-PL"/>
              </w:rPr>
              <w:t>/rok],</w:t>
            </w:r>
          </w:p>
        </w:tc>
      </w:tr>
      <w:tr w:rsidR="004F5BF2" w:rsidRPr="00066C6C" w:rsidTr="007F3917">
        <w:trPr>
          <w:trHeight w:val="396"/>
        </w:trPr>
        <w:tc>
          <w:tcPr>
            <w:tcW w:w="2416" w:type="dxa"/>
            <w:shd w:val="pct5" w:color="auto" w:fill="auto"/>
            <w:vAlign w:val="center"/>
          </w:tcPr>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Definicja wskaźnika</w:t>
            </w:r>
          </w:p>
        </w:tc>
        <w:tc>
          <w:tcPr>
            <w:tcW w:w="6626" w:type="dxa"/>
            <w:shd w:val="pct5" w:color="auto" w:fill="auto"/>
            <w:vAlign w:val="center"/>
          </w:tcPr>
          <w:p w:rsidR="004F5BF2" w:rsidRPr="00066C6C" w:rsidRDefault="004F5BF2" w:rsidP="007F3917">
            <w:pPr>
              <w:spacing w:after="0" w:line="240" w:lineRule="auto"/>
              <w:rPr>
                <w:rFonts w:cs="Arial"/>
                <w:i/>
                <w:color w:val="333399"/>
                <w:sz w:val="18"/>
                <w:szCs w:val="18"/>
                <w:lang w:eastAsia="pl-PL"/>
              </w:rPr>
            </w:pPr>
            <w:proofErr w:type="spellStart"/>
            <w:r w:rsidRPr="00066C6C">
              <w:rPr>
                <w:rFonts w:cs="Arial"/>
                <w:color w:val="333399"/>
                <w:sz w:val="18"/>
                <w:szCs w:val="18"/>
                <w:lang w:eastAsia="pl-PL"/>
              </w:rPr>
              <w:t>Podwskaźnik</w:t>
            </w:r>
            <w:proofErr w:type="spellEnd"/>
            <w:r w:rsidRPr="00066C6C">
              <w:rPr>
                <w:rFonts w:cs="Arial"/>
                <w:color w:val="333399"/>
                <w:sz w:val="18"/>
                <w:szCs w:val="18"/>
                <w:lang w:eastAsia="pl-PL"/>
              </w:rPr>
              <w:t xml:space="preserve"> do </w:t>
            </w:r>
            <w:proofErr w:type="spellStart"/>
            <w:r w:rsidRPr="00066C6C">
              <w:rPr>
                <w:rFonts w:cs="Arial"/>
                <w:color w:val="333399"/>
                <w:sz w:val="18"/>
                <w:szCs w:val="18"/>
                <w:lang w:eastAsia="pl-PL"/>
              </w:rPr>
              <w:t>common</w:t>
            </w:r>
            <w:proofErr w:type="spellEnd"/>
            <w:r w:rsidRPr="00066C6C">
              <w:rPr>
                <w:rFonts w:cs="Arial"/>
                <w:color w:val="333399"/>
                <w:sz w:val="18"/>
                <w:szCs w:val="18"/>
                <w:lang w:eastAsia="pl-PL"/>
              </w:rPr>
              <w:t xml:space="preserve"> </w:t>
            </w:r>
            <w:proofErr w:type="spellStart"/>
            <w:r w:rsidRPr="00066C6C">
              <w:rPr>
                <w:rFonts w:cs="Arial"/>
                <w:color w:val="333399"/>
                <w:sz w:val="18"/>
                <w:szCs w:val="18"/>
                <w:lang w:eastAsia="pl-PL"/>
              </w:rPr>
              <w:t>indicator</w:t>
            </w:r>
            <w:proofErr w:type="spellEnd"/>
            <w:r w:rsidRPr="00066C6C">
              <w:rPr>
                <w:rFonts w:cs="Arial"/>
                <w:color w:val="333399"/>
                <w:sz w:val="18"/>
                <w:szCs w:val="18"/>
                <w:lang w:eastAsia="pl-PL"/>
              </w:rPr>
              <w:t xml:space="preserve">: Dodatkowa zdolność wytwarzania energii odnawialnej </w:t>
            </w:r>
          </w:p>
        </w:tc>
      </w:tr>
      <w:tr w:rsidR="004F5BF2" w:rsidRPr="00066C6C" w:rsidTr="007F3917">
        <w:tc>
          <w:tcPr>
            <w:tcW w:w="2416" w:type="dxa"/>
            <w:shd w:val="pct5" w:color="auto" w:fill="auto"/>
            <w:vAlign w:val="center"/>
          </w:tcPr>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Informacje o dostępnych danych i wskaźnikach występujących w statystyce publicznej</w:t>
            </w:r>
          </w:p>
        </w:tc>
        <w:tc>
          <w:tcPr>
            <w:tcW w:w="6626" w:type="dxa"/>
            <w:shd w:val="pct5" w:color="auto" w:fill="auto"/>
            <w:vAlign w:val="center"/>
          </w:tcPr>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GUS zbiera i udostępnia następujące dane:</w:t>
            </w:r>
          </w:p>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informacje o energii ze źródeł odnawialnych dla całego kraju (coroczna publikacja tematyczna: „Energia ze źródeł odnawialnych”);</w:t>
            </w:r>
          </w:p>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moc zainstalowana w elektrowniach wodnych, wiatrowych i biogazowych (łącznie) w podziale wojewódzkim. (Dane dostępne są w publikacji zbiorczej: „Rocznik statystyczny województw”);</w:t>
            </w:r>
          </w:p>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udział energii ze źródeł odnawialnych w produkcji energii elektrycznej ogółem w % według województw. Dane dostępne są w BDL (kategoria: Rynek materiałowy i paliwowo-energetyczny, grupa: Rynek materiałowy);</w:t>
            </w:r>
          </w:p>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produkcja energii elektrycznej z odnawialnych nośników energii w </w:t>
            </w:r>
            <w:proofErr w:type="spellStart"/>
            <w:r w:rsidRPr="00066C6C">
              <w:rPr>
                <w:rFonts w:cs="Arial"/>
                <w:color w:val="333399"/>
                <w:sz w:val="18"/>
                <w:szCs w:val="18"/>
                <w:lang w:eastAsia="pl-PL"/>
              </w:rPr>
              <w:t>GWh</w:t>
            </w:r>
            <w:proofErr w:type="spellEnd"/>
            <w:r w:rsidRPr="00066C6C">
              <w:rPr>
                <w:rFonts w:cs="Arial"/>
                <w:color w:val="333399"/>
                <w:sz w:val="18"/>
                <w:szCs w:val="18"/>
                <w:lang w:eastAsia="pl-PL"/>
              </w:rPr>
              <w:t xml:space="preserve"> według województw. Dane dostępne są w BDL (kategoria: Rynek materiałowy i paliwowo-energetyczny, grupa: Rynek materiałowy).</w:t>
            </w:r>
          </w:p>
        </w:tc>
      </w:tr>
      <w:tr w:rsidR="004F5BF2" w:rsidRPr="00066C6C" w:rsidTr="007F3917">
        <w:tc>
          <w:tcPr>
            <w:tcW w:w="2416" w:type="dxa"/>
            <w:shd w:val="pct5" w:color="auto" w:fill="auto"/>
            <w:vAlign w:val="center"/>
          </w:tcPr>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Uwagi interpretacyjne</w:t>
            </w:r>
          </w:p>
        </w:tc>
        <w:tc>
          <w:tcPr>
            <w:tcW w:w="6626" w:type="dxa"/>
            <w:shd w:val="pct5" w:color="auto" w:fill="auto"/>
            <w:vAlign w:val="center"/>
          </w:tcPr>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Wskaźnik przedstawia o ile bezwzględnie wzrosła zdolność wytwarzania energii ze źródeł odnawialnych. </w:t>
            </w:r>
          </w:p>
          <w:p w:rsidR="004F5BF2" w:rsidRPr="00066C6C" w:rsidRDefault="004F5BF2" w:rsidP="007F3917">
            <w:pPr>
              <w:spacing w:after="0" w:line="240" w:lineRule="auto"/>
              <w:rPr>
                <w:rFonts w:cs="Arial"/>
                <w:color w:val="333399"/>
                <w:sz w:val="18"/>
                <w:szCs w:val="18"/>
                <w:lang w:eastAsia="pl-PL"/>
              </w:rPr>
            </w:pPr>
          </w:p>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Odnosząc wartość tego wskaźnika do danych o zdolności wytwarzania energii ogółem, podawanych przez statystykę publiczną, można określić o ile zmienił się udział wytwarzania energii ze źródeł odnawialnych w ogólnej produkcji energii.</w:t>
            </w:r>
          </w:p>
        </w:tc>
      </w:tr>
    </w:tbl>
    <w:p w:rsidR="00353579" w:rsidRDefault="00353579">
      <w:pPr>
        <w:rPr>
          <w:rFonts w:cs="Arial"/>
          <w:sz w:val="20"/>
          <w:szCs w:val="20"/>
        </w:rPr>
      </w:pPr>
    </w:p>
    <w:tbl>
      <w:tblPr>
        <w:tblpPr w:leftFromText="141" w:rightFromText="141" w:vertAnchor="text" w:tblpY="1"/>
        <w:tblOverlap w:val="neve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4F5BF2" w:rsidRPr="00066C6C" w:rsidTr="007F3917">
        <w:tc>
          <w:tcPr>
            <w:tcW w:w="2416" w:type="dxa"/>
            <w:shd w:val="pct5" w:color="auto" w:fill="auto"/>
            <w:vAlign w:val="center"/>
          </w:tcPr>
          <w:p w:rsidR="004F5BF2" w:rsidRPr="00066C6C" w:rsidRDefault="004F5BF2" w:rsidP="007F3917">
            <w:pPr>
              <w:spacing w:after="0" w:line="240" w:lineRule="auto"/>
              <w:rPr>
                <w:rFonts w:cs="Arial"/>
                <w:b/>
                <w:color w:val="333399"/>
                <w:sz w:val="18"/>
                <w:szCs w:val="18"/>
                <w:lang w:eastAsia="pl-PL"/>
              </w:rPr>
            </w:pPr>
            <w:r w:rsidRPr="00066C6C">
              <w:rPr>
                <w:rFonts w:cs="Arial"/>
                <w:b/>
                <w:color w:val="333399"/>
                <w:sz w:val="18"/>
                <w:szCs w:val="18"/>
                <w:lang w:eastAsia="pl-PL"/>
              </w:rPr>
              <w:t>Nazwa wskaźnika</w:t>
            </w:r>
          </w:p>
        </w:tc>
        <w:tc>
          <w:tcPr>
            <w:tcW w:w="6626" w:type="dxa"/>
            <w:shd w:val="pct5" w:color="auto" w:fill="auto"/>
            <w:vAlign w:val="center"/>
          </w:tcPr>
          <w:p w:rsidR="004F5BF2" w:rsidRPr="00F725A4" w:rsidRDefault="004F5BF2" w:rsidP="007F3917">
            <w:pPr>
              <w:spacing w:after="0" w:line="240" w:lineRule="auto"/>
              <w:rPr>
                <w:rFonts w:cs="Arial"/>
                <w:b/>
                <w:color w:val="333399"/>
                <w:sz w:val="18"/>
                <w:szCs w:val="18"/>
                <w:lang w:eastAsia="pl-PL"/>
              </w:rPr>
            </w:pPr>
            <w:r w:rsidRPr="00F725A4">
              <w:rPr>
                <w:rFonts w:cs="Arial"/>
                <w:b/>
                <w:color w:val="333399"/>
                <w:sz w:val="18"/>
                <w:szCs w:val="18"/>
                <w:lang w:eastAsia="pl-PL"/>
              </w:rPr>
              <w:t>Produkcja energii cieplnej z nowo</w:t>
            </w:r>
            <w:r>
              <w:rPr>
                <w:rFonts w:cs="Arial"/>
                <w:b/>
                <w:color w:val="333399"/>
                <w:sz w:val="18"/>
                <w:szCs w:val="18"/>
                <w:lang w:eastAsia="pl-PL"/>
              </w:rPr>
              <w:t xml:space="preserve"> </w:t>
            </w:r>
            <w:r w:rsidRPr="00F725A4">
              <w:rPr>
                <w:rFonts w:cs="Arial"/>
                <w:b/>
                <w:color w:val="333399"/>
                <w:sz w:val="18"/>
                <w:szCs w:val="18"/>
                <w:lang w:eastAsia="pl-PL"/>
              </w:rPr>
              <w:t xml:space="preserve">wybudowanych instalacji </w:t>
            </w:r>
            <w:r>
              <w:rPr>
                <w:rFonts w:cs="Arial"/>
                <w:b/>
                <w:color w:val="333399"/>
                <w:sz w:val="18"/>
                <w:szCs w:val="18"/>
                <w:lang w:eastAsia="pl-PL"/>
              </w:rPr>
              <w:t>wykorzystujących OZE [</w:t>
            </w:r>
            <w:proofErr w:type="spellStart"/>
            <w:r>
              <w:rPr>
                <w:rFonts w:cs="Arial"/>
                <w:b/>
                <w:color w:val="333399"/>
                <w:sz w:val="18"/>
                <w:szCs w:val="18"/>
                <w:lang w:eastAsia="pl-PL"/>
              </w:rPr>
              <w:t>MWht</w:t>
            </w:r>
            <w:proofErr w:type="spellEnd"/>
            <w:r>
              <w:rPr>
                <w:rFonts w:cs="Arial"/>
                <w:b/>
                <w:color w:val="333399"/>
                <w:sz w:val="18"/>
                <w:szCs w:val="18"/>
                <w:lang w:eastAsia="pl-PL"/>
              </w:rPr>
              <w:t xml:space="preserve">/rok] / </w:t>
            </w:r>
          </w:p>
          <w:p w:rsidR="004F5BF2" w:rsidRPr="00066C6C" w:rsidRDefault="004F5BF2" w:rsidP="007F3917">
            <w:pPr>
              <w:spacing w:after="0" w:line="240" w:lineRule="auto"/>
              <w:rPr>
                <w:rFonts w:cs="Arial"/>
                <w:b/>
                <w:color w:val="333399"/>
                <w:sz w:val="18"/>
                <w:szCs w:val="18"/>
                <w:lang w:eastAsia="pl-PL"/>
              </w:rPr>
            </w:pPr>
            <w:r w:rsidRPr="00F725A4">
              <w:rPr>
                <w:rFonts w:cs="Arial"/>
                <w:b/>
                <w:color w:val="333399"/>
                <w:sz w:val="18"/>
                <w:szCs w:val="18"/>
                <w:lang w:eastAsia="pl-PL"/>
              </w:rPr>
              <w:t>Produkcja energii cieplnej z nowych mocy wytwórczych instalacji wykorzystujących OZE [</w:t>
            </w:r>
            <w:proofErr w:type="spellStart"/>
            <w:r w:rsidRPr="00F725A4">
              <w:rPr>
                <w:rFonts w:cs="Arial"/>
                <w:b/>
                <w:color w:val="333399"/>
                <w:sz w:val="18"/>
                <w:szCs w:val="18"/>
                <w:lang w:eastAsia="pl-PL"/>
              </w:rPr>
              <w:t>MWht</w:t>
            </w:r>
            <w:proofErr w:type="spellEnd"/>
            <w:r w:rsidRPr="00F725A4">
              <w:rPr>
                <w:rFonts w:cs="Arial"/>
                <w:b/>
                <w:color w:val="333399"/>
                <w:sz w:val="18"/>
                <w:szCs w:val="18"/>
                <w:lang w:eastAsia="pl-PL"/>
              </w:rPr>
              <w:t>/rok],</w:t>
            </w:r>
          </w:p>
        </w:tc>
      </w:tr>
      <w:tr w:rsidR="004F5BF2" w:rsidRPr="00066C6C" w:rsidTr="007F3917">
        <w:trPr>
          <w:trHeight w:val="563"/>
        </w:trPr>
        <w:tc>
          <w:tcPr>
            <w:tcW w:w="2416" w:type="dxa"/>
            <w:shd w:val="pct5" w:color="auto" w:fill="auto"/>
            <w:vAlign w:val="center"/>
          </w:tcPr>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Definicja wskaźnika</w:t>
            </w:r>
          </w:p>
        </w:tc>
        <w:tc>
          <w:tcPr>
            <w:tcW w:w="6626" w:type="dxa"/>
            <w:shd w:val="pct5" w:color="auto" w:fill="auto"/>
            <w:vAlign w:val="center"/>
          </w:tcPr>
          <w:p w:rsidR="004F5BF2" w:rsidRPr="00066C6C" w:rsidRDefault="004F5BF2" w:rsidP="007F3917">
            <w:pPr>
              <w:spacing w:after="0" w:line="240" w:lineRule="auto"/>
              <w:rPr>
                <w:rFonts w:cs="Arial"/>
                <w:i/>
                <w:color w:val="333399"/>
                <w:sz w:val="18"/>
                <w:szCs w:val="18"/>
                <w:lang w:eastAsia="pl-PL"/>
              </w:rPr>
            </w:pPr>
            <w:proofErr w:type="spellStart"/>
            <w:r w:rsidRPr="00066C6C">
              <w:rPr>
                <w:rFonts w:cs="Arial"/>
                <w:color w:val="333399"/>
                <w:sz w:val="18"/>
                <w:szCs w:val="18"/>
                <w:lang w:eastAsia="pl-PL"/>
              </w:rPr>
              <w:t>Podwskaźnik</w:t>
            </w:r>
            <w:proofErr w:type="spellEnd"/>
            <w:r w:rsidRPr="00066C6C">
              <w:rPr>
                <w:rFonts w:cs="Arial"/>
                <w:color w:val="333399"/>
                <w:sz w:val="18"/>
                <w:szCs w:val="18"/>
                <w:lang w:eastAsia="pl-PL"/>
              </w:rPr>
              <w:t xml:space="preserve"> do </w:t>
            </w:r>
            <w:proofErr w:type="spellStart"/>
            <w:r w:rsidRPr="00066C6C">
              <w:rPr>
                <w:rFonts w:cs="Arial"/>
                <w:color w:val="333399"/>
                <w:sz w:val="18"/>
                <w:szCs w:val="18"/>
                <w:lang w:eastAsia="pl-PL"/>
              </w:rPr>
              <w:t>common</w:t>
            </w:r>
            <w:proofErr w:type="spellEnd"/>
            <w:r w:rsidRPr="00066C6C">
              <w:rPr>
                <w:rFonts w:cs="Arial"/>
                <w:color w:val="333399"/>
                <w:sz w:val="18"/>
                <w:szCs w:val="18"/>
                <w:lang w:eastAsia="pl-PL"/>
              </w:rPr>
              <w:t xml:space="preserve"> </w:t>
            </w:r>
            <w:proofErr w:type="spellStart"/>
            <w:r w:rsidRPr="00066C6C">
              <w:rPr>
                <w:rFonts w:cs="Arial"/>
                <w:color w:val="333399"/>
                <w:sz w:val="18"/>
                <w:szCs w:val="18"/>
                <w:lang w:eastAsia="pl-PL"/>
              </w:rPr>
              <w:t>indicator</w:t>
            </w:r>
            <w:proofErr w:type="spellEnd"/>
            <w:r w:rsidRPr="00066C6C">
              <w:rPr>
                <w:rFonts w:cs="Arial"/>
                <w:color w:val="333399"/>
                <w:sz w:val="18"/>
                <w:szCs w:val="18"/>
                <w:lang w:eastAsia="pl-PL"/>
              </w:rPr>
              <w:t xml:space="preserve">: Dodatkowa zdolność wytwarzania energii odnawialnej </w:t>
            </w:r>
          </w:p>
        </w:tc>
      </w:tr>
      <w:tr w:rsidR="004F5BF2" w:rsidRPr="00066C6C" w:rsidTr="007F3917">
        <w:tc>
          <w:tcPr>
            <w:tcW w:w="2416" w:type="dxa"/>
            <w:shd w:val="pct5" w:color="auto" w:fill="auto"/>
            <w:vAlign w:val="center"/>
          </w:tcPr>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Informacje o dostępnych danych i wskaźnikach występujących w statystyce publicznej</w:t>
            </w:r>
          </w:p>
        </w:tc>
        <w:tc>
          <w:tcPr>
            <w:tcW w:w="6626" w:type="dxa"/>
            <w:shd w:val="pct5" w:color="auto" w:fill="auto"/>
            <w:vAlign w:val="center"/>
          </w:tcPr>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GUS zbiera i udostępnia następujące dane:</w:t>
            </w:r>
          </w:p>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informacje o energii ze źródeł odnawialnych dla całego kraju (coroczna publikacja tematyczna: „Energia ze źródeł odnawialnych”);</w:t>
            </w:r>
          </w:p>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moc zainstalowana w elektrowniach wodnych, wiatrowych i biogazowych (łącznie) w podziale wojewódzkim. (Dane dostępne są w publikacji zbiorczej: „Rocznik statystyczny województw”);</w:t>
            </w:r>
          </w:p>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udział energii ze źródeł odnawialnych w produkcji energii elektrycznej ogółem w % według województw. Dane dostępne są w BDL (kategoria: Rynek materiałowy i paliwowo-energetyczny, grupa: Rynek materiałowy);</w:t>
            </w:r>
          </w:p>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produkcja energii elektrycznej z odnawialnych nośników energii w </w:t>
            </w:r>
            <w:proofErr w:type="spellStart"/>
            <w:r w:rsidRPr="00066C6C">
              <w:rPr>
                <w:rFonts w:cs="Arial"/>
                <w:color w:val="333399"/>
                <w:sz w:val="18"/>
                <w:szCs w:val="18"/>
                <w:lang w:eastAsia="pl-PL"/>
              </w:rPr>
              <w:t>GWh</w:t>
            </w:r>
            <w:proofErr w:type="spellEnd"/>
            <w:r w:rsidRPr="00066C6C">
              <w:rPr>
                <w:rFonts w:cs="Arial"/>
                <w:color w:val="333399"/>
                <w:sz w:val="18"/>
                <w:szCs w:val="18"/>
                <w:lang w:eastAsia="pl-PL"/>
              </w:rPr>
              <w:t xml:space="preserve"> według województw. Dane dostępne są w BDL (kategoria: Rynek materiałowy i paliwowo-energetyczny, grupa: Rynek materiałowy).</w:t>
            </w:r>
          </w:p>
        </w:tc>
      </w:tr>
      <w:tr w:rsidR="004F5BF2" w:rsidRPr="00066C6C" w:rsidTr="007F3917">
        <w:tc>
          <w:tcPr>
            <w:tcW w:w="2416" w:type="dxa"/>
            <w:shd w:val="pct5" w:color="auto" w:fill="auto"/>
            <w:vAlign w:val="center"/>
          </w:tcPr>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Uwagi interpretacyjne</w:t>
            </w:r>
          </w:p>
        </w:tc>
        <w:tc>
          <w:tcPr>
            <w:tcW w:w="6626" w:type="dxa"/>
            <w:shd w:val="pct5" w:color="auto" w:fill="auto"/>
            <w:vAlign w:val="center"/>
          </w:tcPr>
          <w:p w:rsidR="004F5BF2" w:rsidRPr="00066C6C"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 xml:space="preserve">Wskaźnik przedstawia o ile bezwzględnie wzrosła zdolność wytwarzania energii ze źródeł odnawialnych. </w:t>
            </w:r>
          </w:p>
          <w:p w:rsidR="004F5BF2" w:rsidRDefault="004F5BF2" w:rsidP="007F3917">
            <w:pPr>
              <w:spacing w:after="0" w:line="240" w:lineRule="auto"/>
              <w:rPr>
                <w:rFonts w:cs="Arial"/>
                <w:color w:val="333399"/>
                <w:sz w:val="18"/>
                <w:szCs w:val="18"/>
                <w:lang w:eastAsia="pl-PL"/>
              </w:rPr>
            </w:pPr>
            <w:r w:rsidRPr="00066C6C">
              <w:rPr>
                <w:rFonts w:cs="Arial"/>
                <w:color w:val="333399"/>
                <w:sz w:val="18"/>
                <w:szCs w:val="18"/>
                <w:lang w:eastAsia="pl-PL"/>
              </w:rPr>
              <w:t>Odnosząc wartość tego wskaźnika do danych o zdolności wytwarzania energii ogółem, podawanych przez statystykę publiczną, można określić o ile zmienił się udział wytwarzania energii ze źródeł odnawialnych w ogólnej produkcji energii.</w:t>
            </w:r>
          </w:p>
          <w:p w:rsidR="004F5BF2" w:rsidRDefault="004F5BF2" w:rsidP="007F3917">
            <w:pPr>
              <w:spacing w:after="0" w:line="240" w:lineRule="auto"/>
              <w:rPr>
                <w:rFonts w:cs="Arial"/>
                <w:color w:val="333399"/>
                <w:sz w:val="18"/>
                <w:szCs w:val="18"/>
                <w:lang w:eastAsia="pl-PL"/>
              </w:rPr>
            </w:pPr>
            <w:r w:rsidRPr="00F7341C">
              <w:rPr>
                <w:rFonts w:cs="Arial"/>
                <w:color w:val="333399"/>
                <w:sz w:val="18"/>
                <w:szCs w:val="18"/>
                <w:lang w:eastAsia="pl-PL"/>
              </w:rPr>
              <w:t xml:space="preserve">Do przeliczenia jednostek miary należy przyjąć, że 1 </w:t>
            </w:r>
            <w:proofErr w:type="spellStart"/>
            <w:r w:rsidRPr="00F7341C">
              <w:rPr>
                <w:rFonts w:cs="Arial"/>
                <w:color w:val="333399"/>
                <w:sz w:val="18"/>
                <w:szCs w:val="18"/>
                <w:lang w:eastAsia="pl-PL"/>
              </w:rPr>
              <w:t>MWh</w:t>
            </w:r>
            <w:proofErr w:type="spellEnd"/>
            <w:r w:rsidRPr="00F7341C">
              <w:rPr>
                <w:rFonts w:cs="Arial"/>
                <w:color w:val="333399"/>
                <w:sz w:val="18"/>
                <w:szCs w:val="18"/>
                <w:lang w:eastAsia="pl-PL"/>
              </w:rPr>
              <w:t xml:space="preserve"> = 3,6 GJ.</w:t>
            </w:r>
          </w:p>
          <w:p w:rsidR="004F5BF2" w:rsidRPr="00066C6C" w:rsidRDefault="004F5BF2" w:rsidP="007F3917">
            <w:pPr>
              <w:spacing w:after="0" w:line="240" w:lineRule="auto"/>
              <w:rPr>
                <w:rFonts w:cs="Arial"/>
                <w:color w:val="333399"/>
                <w:sz w:val="18"/>
                <w:szCs w:val="18"/>
                <w:lang w:eastAsia="pl-PL"/>
              </w:rPr>
            </w:pPr>
          </w:p>
        </w:tc>
      </w:tr>
    </w:tbl>
    <w:p w:rsidR="004F5BF2" w:rsidRDefault="004F5BF2">
      <w:pPr>
        <w:rPr>
          <w:rFonts w:cs="Arial"/>
          <w:sz w:val="20"/>
          <w:szCs w:val="20"/>
        </w:rPr>
      </w:pPr>
    </w:p>
    <w:tbl>
      <w:tblPr>
        <w:tblpPr w:leftFromText="141" w:rightFromText="141" w:vertAnchor="text" w:tblpY="1"/>
        <w:tblOverlap w:val="neve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4F5BF2" w:rsidRPr="00F41D8B" w:rsidTr="007F3917">
        <w:tc>
          <w:tcPr>
            <w:tcW w:w="2416" w:type="dxa"/>
            <w:shd w:val="pct5" w:color="auto" w:fill="auto"/>
            <w:vAlign w:val="center"/>
          </w:tcPr>
          <w:p w:rsidR="004F5BF2" w:rsidRPr="00F41D8B" w:rsidRDefault="004F5BF2" w:rsidP="007F3917">
            <w:pPr>
              <w:spacing w:after="0" w:line="240" w:lineRule="auto"/>
              <w:rPr>
                <w:rFonts w:cs="Arial"/>
                <w:b/>
                <w:color w:val="333399"/>
                <w:sz w:val="18"/>
                <w:szCs w:val="18"/>
                <w:lang w:eastAsia="pl-PL"/>
              </w:rPr>
            </w:pPr>
            <w:r w:rsidRPr="00F41D8B">
              <w:rPr>
                <w:rFonts w:cs="Arial"/>
                <w:b/>
                <w:color w:val="333399"/>
                <w:sz w:val="18"/>
                <w:szCs w:val="18"/>
                <w:lang w:eastAsia="pl-PL"/>
              </w:rPr>
              <w:t>Nazwa wskaźnika</w:t>
            </w:r>
          </w:p>
        </w:tc>
        <w:tc>
          <w:tcPr>
            <w:tcW w:w="6626" w:type="dxa"/>
            <w:shd w:val="pct5" w:color="auto" w:fill="auto"/>
            <w:vAlign w:val="center"/>
          </w:tcPr>
          <w:p w:rsidR="004F5BF2" w:rsidRPr="00F41D8B" w:rsidRDefault="004F5BF2" w:rsidP="007F3917">
            <w:pPr>
              <w:spacing w:after="0" w:line="240" w:lineRule="auto"/>
              <w:rPr>
                <w:rFonts w:cs="Arial"/>
                <w:b/>
                <w:color w:val="333399"/>
                <w:sz w:val="18"/>
                <w:szCs w:val="18"/>
                <w:lang w:eastAsia="pl-PL"/>
              </w:rPr>
            </w:pPr>
            <w:r w:rsidRPr="00F41D8B">
              <w:rPr>
                <w:rFonts w:cs="Arial"/>
                <w:b/>
                <w:color w:val="333399"/>
                <w:sz w:val="18"/>
                <w:szCs w:val="18"/>
                <w:lang w:eastAsia="pl-PL"/>
              </w:rPr>
              <w:t>Ilość zaoszczędzonej energii elektrycznej [</w:t>
            </w:r>
            <w:proofErr w:type="spellStart"/>
            <w:r w:rsidRPr="00F41D8B">
              <w:rPr>
                <w:rFonts w:cs="Arial"/>
                <w:b/>
                <w:color w:val="333399"/>
                <w:sz w:val="18"/>
                <w:szCs w:val="18"/>
                <w:lang w:eastAsia="pl-PL"/>
              </w:rPr>
              <w:t>MWh</w:t>
            </w:r>
            <w:proofErr w:type="spellEnd"/>
            <w:r w:rsidRPr="00F41D8B">
              <w:rPr>
                <w:rFonts w:cs="Arial"/>
                <w:b/>
                <w:color w:val="333399"/>
                <w:sz w:val="18"/>
                <w:szCs w:val="18"/>
                <w:lang w:eastAsia="pl-PL"/>
              </w:rPr>
              <w:t>/rok],</w:t>
            </w:r>
          </w:p>
        </w:tc>
      </w:tr>
      <w:tr w:rsidR="004F5BF2" w:rsidRPr="00F41D8B" w:rsidTr="007F3917">
        <w:trPr>
          <w:trHeight w:val="563"/>
        </w:trPr>
        <w:tc>
          <w:tcPr>
            <w:tcW w:w="241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Definicja wskaźnika</w:t>
            </w:r>
          </w:p>
        </w:tc>
        <w:tc>
          <w:tcPr>
            <w:tcW w:w="662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 xml:space="preserve">Ilość zaoszczędzonej w wyniku realizacji projektu energii elektrycznej w dystrybucji w ciągu pełnego roku po zakończeniu projektu w stosunku do roku bazowego. </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 xml:space="preserve">W przypadku przedsiębiorstw produkcyjnych: różnica między rocznym zużyciem energii </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Elektrycznej</w:t>
            </w:r>
            <w:r>
              <w:rPr>
                <w:rFonts w:cs="Arial"/>
                <w:color w:val="333399"/>
                <w:sz w:val="18"/>
                <w:szCs w:val="18"/>
                <w:lang w:eastAsia="pl-PL"/>
              </w:rPr>
              <w:t xml:space="preserve"> </w:t>
            </w:r>
            <w:r w:rsidRPr="00F41D8B">
              <w:rPr>
                <w:rFonts w:cs="Arial"/>
                <w:color w:val="333399"/>
                <w:sz w:val="18"/>
                <w:szCs w:val="18"/>
                <w:lang w:eastAsia="pl-PL"/>
              </w:rPr>
              <w:t xml:space="preserve">w  roku bazowym  w  stosunku do  rocznego  zużycia energii </w:t>
            </w:r>
          </w:p>
          <w:p w:rsidR="004F5BF2"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Elektrycznej</w:t>
            </w:r>
            <w:r>
              <w:rPr>
                <w:rFonts w:cs="Arial"/>
                <w:color w:val="333399"/>
                <w:sz w:val="18"/>
                <w:szCs w:val="18"/>
                <w:lang w:eastAsia="pl-PL"/>
              </w:rPr>
              <w:t xml:space="preserve"> </w:t>
            </w:r>
            <w:r w:rsidRPr="00F41D8B">
              <w:rPr>
                <w:rFonts w:cs="Arial"/>
                <w:color w:val="333399"/>
                <w:sz w:val="18"/>
                <w:szCs w:val="18"/>
                <w:lang w:eastAsia="pl-PL"/>
              </w:rPr>
              <w:t xml:space="preserve">po  zakończeniu projektu, skorygowana w przypadku zmiany wielkości produkcji. </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W  przypadku  modernizacji  energetycznej  budynków:</w:t>
            </w:r>
          </w:p>
          <w:p w:rsidR="004F5BF2" w:rsidRPr="00F41D8B" w:rsidRDefault="004F5BF2" w:rsidP="007F3917">
            <w:pPr>
              <w:spacing w:after="0" w:line="240" w:lineRule="auto"/>
              <w:rPr>
                <w:rFonts w:cs="Arial"/>
                <w:i/>
                <w:color w:val="333399"/>
                <w:sz w:val="18"/>
                <w:szCs w:val="18"/>
                <w:lang w:eastAsia="pl-PL"/>
              </w:rPr>
            </w:pPr>
            <w:r w:rsidRPr="00F41D8B">
              <w:rPr>
                <w:rFonts w:cs="Arial"/>
                <w:color w:val="333399"/>
                <w:sz w:val="18"/>
                <w:szCs w:val="18"/>
                <w:lang w:eastAsia="pl-PL"/>
              </w:rPr>
              <w:lastRenderedPageBreak/>
              <w:t>różnica  między  rocznym  zużyciem  energii</w:t>
            </w:r>
            <w:r>
              <w:rPr>
                <w:rFonts w:cs="Arial"/>
                <w:color w:val="333399"/>
                <w:sz w:val="18"/>
                <w:szCs w:val="18"/>
                <w:lang w:eastAsia="pl-PL"/>
              </w:rPr>
              <w:t xml:space="preserve"> </w:t>
            </w:r>
            <w:r w:rsidRPr="00F41D8B">
              <w:rPr>
                <w:rFonts w:cs="Arial"/>
                <w:color w:val="333399"/>
                <w:sz w:val="18"/>
                <w:szCs w:val="18"/>
                <w:lang w:eastAsia="pl-PL"/>
              </w:rPr>
              <w:t>elektrycznej</w:t>
            </w:r>
            <w:r>
              <w:rPr>
                <w:rFonts w:cs="Arial"/>
                <w:color w:val="333399"/>
                <w:sz w:val="18"/>
                <w:szCs w:val="18"/>
                <w:lang w:eastAsia="pl-PL"/>
              </w:rPr>
              <w:t xml:space="preserve"> </w:t>
            </w:r>
            <w:r w:rsidRPr="00F41D8B">
              <w:rPr>
                <w:rFonts w:cs="Arial"/>
                <w:color w:val="333399"/>
                <w:sz w:val="18"/>
                <w:szCs w:val="18"/>
                <w:lang w:eastAsia="pl-PL"/>
              </w:rPr>
              <w:t>w</w:t>
            </w:r>
            <w:r>
              <w:rPr>
                <w:rFonts w:cs="Arial"/>
                <w:color w:val="333399"/>
                <w:sz w:val="18"/>
                <w:szCs w:val="18"/>
                <w:lang w:eastAsia="pl-PL"/>
              </w:rPr>
              <w:t xml:space="preserve"> </w:t>
            </w:r>
            <w:r w:rsidRPr="00F41D8B">
              <w:rPr>
                <w:rFonts w:cs="Arial"/>
                <w:color w:val="333399"/>
                <w:sz w:val="18"/>
                <w:szCs w:val="18"/>
                <w:lang w:eastAsia="pl-PL"/>
              </w:rPr>
              <w:t>roku bazowym w stosunku do rocznego zużycia energii elektrycznej</w:t>
            </w:r>
            <w:r>
              <w:rPr>
                <w:rFonts w:cs="Arial"/>
                <w:color w:val="333399"/>
                <w:sz w:val="18"/>
                <w:szCs w:val="18"/>
                <w:lang w:eastAsia="pl-PL"/>
              </w:rPr>
              <w:t xml:space="preserve"> </w:t>
            </w:r>
            <w:r w:rsidRPr="00F41D8B">
              <w:rPr>
                <w:rFonts w:cs="Arial"/>
                <w:color w:val="333399"/>
                <w:sz w:val="18"/>
                <w:szCs w:val="18"/>
                <w:lang w:eastAsia="pl-PL"/>
              </w:rPr>
              <w:t>po zakończeniu projektu.</w:t>
            </w:r>
          </w:p>
        </w:tc>
      </w:tr>
      <w:tr w:rsidR="004F5BF2" w:rsidRPr="00F41D8B" w:rsidTr="007F3917">
        <w:tc>
          <w:tcPr>
            <w:tcW w:w="241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lastRenderedPageBreak/>
              <w:t>Informacje o dostępnych danych i wskaźnikach występujących w statystyce publicznej</w:t>
            </w:r>
          </w:p>
        </w:tc>
        <w:tc>
          <w:tcPr>
            <w:tcW w:w="662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GUS zbiera i udostępnia następujące dane:</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 xml:space="preserve">produkcja energii elektrycznej wg źródeł w </w:t>
            </w:r>
            <w:proofErr w:type="spellStart"/>
            <w:r w:rsidRPr="00F41D8B">
              <w:rPr>
                <w:rFonts w:cs="Arial"/>
                <w:color w:val="333399"/>
                <w:sz w:val="18"/>
                <w:szCs w:val="18"/>
                <w:lang w:eastAsia="pl-PL"/>
              </w:rPr>
              <w:t>GWh</w:t>
            </w:r>
            <w:proofErr w:type="spellEnd"/>
            <w:r w:rsidRPr="00F41D8B">
              <w:rPr>
                <w:rFonts w:cs="Arial"/>
                <w:color w:val="333399"/>
                <w:sz w:val="18"/>
                <w:szCs w:val="18"/>
                <w:lang w:eastAsia="pl-PL"/>
              </w:rPr>
              <w:t xml:space="preserve"> według województw. Dane dostępne są w</w:t>
            </w:r>
            <w:r>
              <w:rPr>
                <w:rFonts w:cs="Arial"/>
                <w:color w:val="333399"/>
                <w:sz w:val="18"/>
                <w:szCs w:val="18"/>
                <w:lang w:eastAsia="pl-PL"/>
              </w:rPr>
              <w:t xml:space="preserve"> </w:t>
            </w:r>
            <w:r w:rsidRPr="00F41D8B">
              <w:rPr>
                <w:rFonts w:cs="Arial"/>
                <w:color w:val="333399"/>
                <w:sz w:val="18"/>
                <w:szCs w:val="18"/>
                <w:lang w:eastAsia="pl-PL"/>
              </w:rPr>
              <w:t xml:space="preserve">BDL </w:t>
            </w:r>
            <w:r>
              <w:rPr>
                <w:rFonts w:cs="Arial"/>
                <w:color w:val="333399"/>
                <w:sz w:val="18"/>
                <w:szCs w:val="18"/>
                <w:lang w:eastAsia="pl-PL"/>
              </w:rPr>
              <w:t xml:space="preserve"> </w:t>
            </w:r>
            <w:r w:rsidRPr="00F41D8B">
              <w:rPr>
                <w:rFonts w:cs="Arial"/>
                <w:color w:val="333399"/>
                <w:sz w:val="18"/>
                <w:szCs w:val="18"/>
                <w:lang w:eastAsia="pl-PL"/>
              </w:rPr>
              <w:t>(kategoria: Rynek materiałowy i paliwowo</w:t>
            </w:r>
            <w:r>
              <w:rPr>
                <w:rFonts w:cs="Arial"/>
                <w:color w:val="333399"/>
                <w:sz w:val="18"/>
                <w:szCs w:val="18"/>
                <w:lang w:eastAsia="pl-PL"/>
              </w:rPr>
              <w:t xml:space="preserve"> </w:t>
            </w:r>
            <w:r w:rsidRPr="00F41D8B">
              <w:rPr>
                <w:rFonts w:cs="Arial"/>
                <w:color w:val="333399"/>
                <w:sz w:val="18"/>
                <w:szCs w:val="18"/>
                <w:lang w:eastAsia="pl-PL"/>
              </w:rPr>
              <w:t>-</w:t>
            </w:r>
            <w:r>
              <w:rPr>
                <w:rFonts w:cs="Arial"/>
                <w:color w:val="333399"/>
                <w:sz w:val="18"/>
                <w:szCs w:val="18"/>
                <w:lang w:eastAsia="pl-PL"/>
              </w:rPr>
              <w:t xml:space="preserve"> </w:t>
            </w:r>
            <w:r w:rsidRPr="00F41D8B">
              <w:rPr>
                <w:rFonts w:cs="Arial"/>
                <w:color w:val="333399"/>
                <w:sz w:val="18"/>
                <w:szCs w:val="18"/>
                <w:lang w:eastAsia="pl-PL"/>
              </w:rPr>
              <w:t>energetyczny,</w:t>
            </w:r>
            <w:r>
              <w:rPr>
                <w:rFonts w:cs="Arial"/>
                <w:color w:val="333399"/>
                <w:sz w:val="18"/>
                <w:szCs w:val="18"/>
                <w:lang w:eastAsia="pl-PL"/>
              </w:rPr>
              <w:t xml:space="preserve"> </w:t>
            </w:r>
            <w:r w:rsidRPr="00F41D8B">
              <w:rPr>
                <w:rFonts w:cs="Arial"/>
                <w:color w:val="333399"/>
                <w:sz w:val="18"/>
                <w:szCs w:val="18"/>
                <w:lang w:eastAsia="pl-PL"/>
              </w:rPr>
              <w:t>grupa: Rynek materiałowy);</w:t>
            </w:r>
            <w:r>
              <w:rPr>
                <w:rFonts w:cs="Arial"/>
                <w:color w:val="333399"/>
                <w:sz w:val="18"/>
                <w:szCs w:val="18"/>
                <w:lang w:eastAsia="pl-PL"/>
              </w:rPr>
              <w:t xml:space="preserve"> </w:t>
            </w:r>
            <w:r w:rsidRPr="00F41D8B">
              <w:rPr>
                <w:rFonts w:cs="Arial"/>
                <w:color w:val="333399"/>
                <w:sz w:val="18"/>
                <w:szCs w:val="18"/>
                <w:lang w:eastAsia="pl-PL"/>
              </w:rPr>
              <w:t xml:space="preserve">zużycie energii elektrycznej wg sektorów ekonomicznych w </w:t>
            </w:r>
            <w:proofErr w:type="spellStart"/>
            <w:r w:rsidRPr="00F41D8B">
              <w:rPr>
                <w:rFonts w:cs="Arial"/>
                <w:color w:val="333399"/>
                <w:sz w:val="18"/>
                <w:szCs w:val="18"/>
                <w:lang w:eastAsia="pl-PL"/>
              </w:rPr>
              <w:t>GWh</w:t>
            </w:r>
            <w:proofErr w:type="spellEnd"/>
            <w:r w:rsidRPr="00F41D8B">
              <w:rPr>
                <w:rFonts w:cs="Arial"/>
                <w:color w:val="333399"/>
                <w:sz w:val="18"/>
                <w:szCs w:val="18"/>
                <w:lang w:eastAsia="pl-PL"/>
              </w:rPr>
              <w:t xml:space="preserve"> według województw. </w:t>
            </w:r>
            <w:r>
              <w:rPr>
                <w:rFonts w:cs="Arial"/>
                <w:color w:val="333399"/>
                <w:sz w:val="18"/>
                <w:szCs w:val="18"/>
                <w:lang w:eastAsia="pl-PL"/>
              </w:rPr>
              <w:t xml:space="preserve"> </w:t>
            </w:r>
            <w:r w:rsidRPr="00F41D8B">
              <w:rPr>
                <w:rFonts w:cs="Arial"/>
                <w:color w:val="333399"/>
                <w:sz w:val="18"/>
                <w:szCs w:val="18"/>
                <w:lang w:eastAsia="pl-PL"/>
              </w:rPr>
              <w:t>Dane dostępne są w BDL (kategoria: Rynek materiałowy i paliwowo</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w:t>
            </w:r>
            <w:r>
              <w:rPr>
                <w:rFonts w:cs="Arial"/>
                <w:color w:val="333399"/>
                <w:sz w:val="18"/>
                <w:szCs w:val="18"/>
                <w:lang w:eastAsia="pl-PL"/>
              </w:rPr>
              <w:t xml:space="preserve"> </w:t>
            </w:r>
            <w:r w:rsidRPr="00F41D8B">
              <w:rPr>
                <w:rFonts w:cs="Arial"/>
                <w:color w:val="333399"/>
                <w:sz w:val="18"/>
                <w:szCs w:val="18"/>
                <w:lang w:eastAsia="pl-PL"/>
              </w:rPr>
              <w:t>energetyczny, grupa: Rynek materiałowy).</w:t>
            </w:r>
          </w:p>
        </w:tc>
      </w:tr>
      <w:tr w:rsidR="004F5BF2" w:rsidRPr="00F41D8B" w:rsidTr="007F3917">
        <w:tc>
          <w:tcPr>
            <w:tcW w:w="241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Uwagi interpretacyjne</w:t>
            </w:r>
          </w:p>
        </w:tc>
        <w:tc>
          <w:tcPr>
            <w:tcW w:w="6626" w:type="dxa"/>
            <w:shd w:val="pct5" w:color="auto" w:fill="auto"/>
            <w:vAlign w:val="center"/>
          </w:tcPr>
          <w:p w:rsidR="004F5BF2" w:rsidRPr="00F41D8B" w:rsidRDefault="004F5BF2" w:rsidP="007F3917">
            <w:pPr>
              <w:spacing w:after="0" w:line="240" w:lineRule="auto"/>
              <w:rPr>
                <w:rFonts w:cs="Arial"/>
                <w:color w:val="333399"/>
                <w:sz w:val="18"/>
                <w:szCs w:val="18"/>
                <w:u w:val="single"/>
                <w:lang w:eastAsia="pl-PL"/>
              </w:rPr>
            </w:pPr>
            <w:r w:rsidRPr="00F41D8B">
              <w:rPr>
                <w:rFonts w:cs="Arial"/>
                <w:color w:val="333399"/>
                <w:sz w:val="18"/>
                <w:szCs w:val="18"/>
                <w:u w:val="single"/>
                <w:lang w:eastAsia="pl-PL"/>
              </w:rPr>
              <w:t>Przykład:</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 xml:space="preserve">Przed modernizacją energetyczną w budynku mieszkalnym zużycie energii wynosiło 500 </w:t>
            </w:r>
            <w:proofErr w:type="spellStart"/>
            <w:r w:rsidRPr="00F41D8B">
              <w:rPr>
                <w:rFonts w:cs="Arial"/>
                <w:color w:val="333399"/>
                <w:sz w:val="18"/>
                <w:szCs w:val="18"/>
                <w:lang w:eastAsia="pl-PL"/>
              </w:rPr>
              <w:t>MWh</w:t>
            </w:r>
            <w:proofErr w:type="spellEnd"/>
            <w:r w:rsidRPr="00F41D8B">
              <w:rPr>
                <w:rFonts w:cs="Arial"/>
                <w:color w:val="333399"/>
                <w:sz w:val="18"/>
                <w:szCs w:val="18"/>
                <w:lang w:eastAsia="pl-PL"/>
              </w:rPr>
              <w:t xml:space="preserve">/rok. W wyniku głębokiej modernizacji i wymianie oświetlenia na energooszczędne zużycie zmniejszyło się do 300 </w:t>
            </w:r>
            <w:proofErr w:type="spellStart"/>
            <w:r w:rsidRPr="00F41D8B">
              <w:rPr>
                <w:rFonts w:cs="Arial"/>
                <w:color w:val="333399"/>
                <w:sz w:val="18"/>
                <w:szCs w:val="18"/>
                <w:lang w:eastAsia="pl-PL"/>
              </w:rPr>
              <w:t>MWh</w:t>
            </w:r>
            <w:proofErr w:type="spellEnd"/>
            <w:r w:rsidRPr="00F41D8B">
              <w:rPr>
                <w:rFonts w:cs="Arial"/>
                <w:color w:val="333399"/>
                <w:sz w:val="18"/>
                <w:szCs w:val="18"/>
                <w:lang w:eastAsia="pl-PL"/>
              </w:rPr>
              <w:t>/rok.</w:t>
            </w:r>
          </w:p>
          <w:p w:rsidR="004F5BF2"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 xml:space="preserve">Wartość wskaźnika wynosi – 200 </w:t>
            </w:r>
            <w:proofErr w:type="spellStart"/>
            <w:r w:rsidRPr="00F41D8B">
              <w:rPr>
                <w:rFonts w:cs="Arial"/>
                <w:color w:val="333399"/>
                <w:sz w:val="18"/>
                <w:szCs w:val="18"/>
                <w:lang w:eastAsia="pl-PL"/>
              </w:rPr>
              <w:t>MWh</w:t>
            </w:r>
            <w:proofErr w:type="spellEnd"/>
            <w:r w:rsidRPr="00F41D8B">
              <w:rPr>
                <w:rFonts w:cs="Arial"/>
                <w:color w:val="333399"/>
                <w:sz w:val="18"/>
                <w:szCs w:val="18"/>
                <w:lang w:eastAsia="pl-PL"/>
              </w:rPr>
              <w:t>/rok.</w:t>
            </w:r>
          </w:p>
          <w:p w:rsidR="004F5BF2" w:rsidRPr="00F41D8B" w:rsidRDefault="004F5BF2" w:rsidP="007F3917">
            <w:pPr>
              <w:spacing w:after="0" w:line="240" w:lineRule="auto"/>
              <w:rPr>
                <w:rFonts w:cs="Arial"/>
                <w:color w:val="333399"/>
                <w:sz w:val="18"/>
                <w:szCs w:val="18"/>
                <w:lang w:eastAsia="pl-PL"/>
              </w:rPr>
            </w:pPr>
          </w:p>
        </w:tc>
      </w:tr>
    </w:tbl>
    <w:p w:rsidR="004F5BF2" w:rsidRDefault="004F5BF2">
      <w:pPr>
        <w:rPr>
          <w:rFonts w:cs="Arial"/>
          <w:sz w:val="20"/>
          <w:szCs w:val="20"/>
        </w:rPr>
      </w:pPr>
    </w:p>
    <w:tbl>
      <w:tblPr>
        <w:tblpPr w:leftFromText="141" w:rightFromText="141" w:vertAnchor="text" w:tblpY="1"/>
        <w:tblOverlap w:val="neve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4F5BF2" w:rsidRPr="00F41D8B" w:rsidTr="007F3917">
        <w:tc>
          <w:tcPr>
            <w:tcW w:w="2416" w:type="dxa"/>
            <w:shd w:val="pct5" w:color="auto" w:fill="auto"/>
            <w:vAlign w:val="center"/>
          </w:tcPr>
          <w:p w:rsidR="004F5BF2" w:rsidRPr="00F41D8B" w:rsidRDefault="004F5BF2" w:rsidP="007F3917">
            <w:pPr>
              <w:spacing w:after="0" w:line="240" w:lineRule="auto"/>
              <w:rPr>
                <w:rFonts w:cs="Arial"/>
                <w:b/>
                <w:color w:val="333399"/>
                <w:sz w:val="18"/>
                <w:szCs w:val="18"/>
                <w:lang w:eastAsia="pl-PL"/>
              </w:rPr>
            </w:pPr>
            <w:r w:rsidRPr="00F41D8B">
              <w:rPr>
                <w:rFonts w:cs="Arial"/>
                <w:b/>
                <w:color w:val="333399"/>
                <w:sz w:val="18"/>
                <w:szCs w:val="18"/>
                <w:lang w:eastAsia="pl-PL"/>
              </w:rPr>
              <w:t>Nazwa wskaźnika</w:t>
            </w:r>
          </w:p>
        </w:tc>
        <w:tc>
          <w:tcPr>
            <w:tcW w:w="6626" w:type="dxa"/>
            <w:shd w:val="pct5" w:color="auto" w:fill="auto"/>
            <w:vAlign w:val="center"/>
          </w:tcPr>
          <w:p w:rsidR="004F5BF2" w:rsidRPr="00F41D8B" w:rsidRDefault="004F5BF2" w:rsidP="007F3917">
            <w:pPr>
              <w:spacing w:after="0" w:line="240" w:lineRule="auto"/>
              <w:rPr>
                <w:rFonts w:cs="Arial"/>
                <w:b/>
                <w:color w:val="333399"/>
                <w:sz w:val="18"/>
                <w:szCs w:val="18"/>
                <w:lang w:eastAsia="pl-PL"/>
              </w:rPr>
            </w:pPr>
            <w:r w:rsidRPr="00F41D8B">
              <w:rPr>
                <w:rFonts w:cs="Arial"/>
                <w:b/>
                <w:color w:val="333399"/>
                <w:sz w:val="18"/>
                <w:szCs w:val="18"/>
                <w:lang w:eastAsia="pl-PL"/>
              </w:rPr>
              <w:t>Ilość zaoszczędzonej energii cieplnej [GJ/rok],</w:t>
            </w:r>
          </w:p>
        </w:tc>
      </w:tr>
      <w:tr w:rsidR="004F5BF2" w:rsidRPr="00F41D8B" w:rsidTr="007F3917">
        <w:trPr>
          <w:trHeight w:val="563"/>
        </w:trPr>
        <w:tc>
          <w:tcPr>
            <w:tcW w:w="241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Definicja wskaźnika</w:t>
            </w:r>
          </w:p>
        </w:tc>
        <w:tc>
          <w:tcPr>
            <w:tcW w:w="662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Ilość  zaoszczędzonej  w  wyniku realizacji  projektu energii  cieplnej  w  dystrybucji</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w  ciągu pełnego roku po zakończeniu projektu.</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 xml:space="preserve">W  przypadku  przedsiębiorstw  produkcyjnych:  różnica  między  rocznym  zużyciem  energii cieplnej w  roku  bazowym  w  stosunku  do  rocznego  zużycia  energii </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 xml:space="preserve">cieplnej po  zakończeniu  projektu, skorygowana w przypadku zmiany wielkości produkcji. </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W  przypadku  modernizacji  energetycznej  budynków:  różnica  między  rocznym  zużyciem  energii</w:t>
            </w:r>
            <w:r>
              <w:rPr>
                <w:rFonts w:cs="Arial"/>
                <w:color w:val="333399"/>
                <w:sz w:val="18"/>
                <w:szCs w:val="18"/>
                <w:lang w:eastAsia="pl-PL"/>
              </w:rPr>
              <w:t xml:space="preserve"> </w:t>
            </w:r>
            <w:r w:rsidRPr="00F41D8B">
              <w:rPr>
                <w:rFonts w:cs="Arial"/>
                <w:color w:val="333399"/>
                <w:sz w:val="18"/>
                <w:szCs w:val="18"/>
                <w:lang w:eastAsia="pl-PL"/>
              </w:rPr>
              <w:t>cieplnej w</w:t>
            </w:r>
            <w:r>
              <w:rPr>
                <w:rFonts w:cs="Arial"/>
                <w:color w:val="333399"/>
                <w:sz w:val="18"/>
                <w:szCs w:val="18"/>
                <w:lang w:eastAsia="pl-PL"/>
              </w:rPr>
              <w:t xml:space="preserve"> </w:t>
            </w:r>
            <w:r w:rsidRPr="00F41D8B">
              <w:rPr>
                <w:rFonts w:cs="Arial"/>
                <w:color w:val="333399"/>
                <w:sz w:val="18"/>
                <w:szCs w:val="18"/>
                <w:lang w:eastAsia="pl-PL"/>
              </w:rPr>
              <w:t>roku bazowym w stosunku do rocznego zużycia energii</w:t>
            </w:r>
          </w:p>
          <w:p w:rsidR="004F5BF2" w:rsidRPr="00F41D8B" w:rsidRDefault="004F5BF2" w:rsidP="007F3917">
            <w:pPr>
              <w:spacing w:after="0" w:line="240" w:lineRule="auto"/>
              <w:rPr>
                <w:rFonts w:cs="Arial"/>
                <w:color w:val="333399"/>
                <w:sz w:val="18"/>
                <w:szCs w:val="18"/>
                <w:lang w:eastAsia="pl-PL"/>
              </w:rPr>
            </w:pPr>
            <w:r>
              <w:rPr>
                <w:rFonts w:cs="Arial"/>
                <w:color w:val="333399"/>
                <w:sz w:val="18"/>
                <w:szCs w:val="18"/>
                <w:lang w:eastAsia="pl-PL"/>
              </w:rPr>
              <w:t>c</w:t>
            </w:r>
            <w:r w:rsidRPr="00F41D8B">
              <w:rPr>
                <w:rFonts w:cs="Arial"/>
                <w:color w:val="333399"/>
                <w:sz w:val="18"/>
                <w:szCs w:val="18"/>
                <w:lang w:eastAsia="pl-PL"/>
              </w:rPr>
              <w:t>ieplnej</w:t>
            </w:r>
            <w:r>
              <w:rPr>
                <w:rFonts w:cs="Arial"/>
                <w:color w:val="333399"/>
                <w:sz w:val="18"/>
                <w:szCs w:val="18"/>
                <w:lang w:eastAsia="pl-PL"/>
              </w:rPr>
              <w:t xml:space="preserve"> </w:t>
            </w:r>
            <w:r w:rsidRPr="00F41D8B">
              <w:rPr>
                <w:rFonts w:cs="Arial"/>
                <w:color w:val="333399"/>
                <w:sz w:val="18"/>
                <w:szCs w:val="18"/>
                <w:lang w:eastAsia="pl-PL"/>
              </w:rPr>
              <w:t>po zakończeniu projektu.</w:t>
            </w:r>
          </w:p>
          <w:p w:rsidR="004F5BF2" w:rsidRPr="00F41D8B" w:rsidRDefault="004F5BF2" w:rsidP="007F3917">
            <w:pPr>
              <w:spacing w:after="0" w:line="240" w:lineRule="auto"/>
              <w:rPr>
                <w:rFonts w:cs="Arial"/>
                <w:i/>
                <w:color w:val="333399"/>
                <w:sz w:val="18"/>
                <w:szCs w:val="18"/>
                <w:lang w:eastAsia="pl-PL"/>
              </w:rPr>
            </w:pPr>
            <w:r w:rsidRPr="00F41D8B">
              <w:rPr>
                <w:rFonts w:cs="Arial"/>
                <w:color w:val="333399"/>
                <w:sz w:val="18"/>
                <w:szCs w:val="18"/>
                <w:lang w:eastAsia="pl-PL"/>
              </w:rPr>
              <w:t>Energia cieplna –</w:t>
            </w:r>
            <w:r>
              <w:rPr>
                <w:rFonts w:cs="Arial"/>
                <w:color w:val="333399"/>
                <w:sz w:val="18"/>
                <w:szCs w:val="18"/>
                <w:lang w:eastAsia="pl-PL"/>
              </w:rPr>
              <w:t xml:space="preserve"> </w:t>
            </w:r>
            <w:r w:rsidRPr="00F41D8B">
              <w:rPr>
                <w:rFonts w:cs="Arial"/>
                <w:color w:val="333399"/>
                <w:sz w:val="18"/>
                <w:szCs w:val="18"/>
                <w:lang w:eastAsia="pl-PL"/>
              </w:rPr>
              <w:t>energia w wodzie gorącej, parze lub w innych nośnikach</w:t>
            </w:r>
            <w:r>
              <w:rPr>
                <w:rFonts w:cs="Arial"/>
                <w:color w:val="333399"/>
                <w:sz w:val="18"/>
                <w:szCs w:val="18"/>
                <w:lang w:eastAsia="pl-PL"/>
              </w:rPr>
              <w:t>.</w:t>
            </w:r>
          </w:p>
        </w:tc>
      </w:tr>
      <w:tr w:rsidR="004F5BF2" w:rsidRPr="00F41D8B" w:rsidTr="007F3917">
        <w:tc>
          <w:tcPr>
            <w:tcW w:w="241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Informacje o dostępnych danych i wskaźnikach występujących w statystyce publicznej</w:t>
            </w:r>
          </w:p>
        </w:tc>
        <w:tc>
          <w:tcPr>
            <w:tcW w:w="662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GUS zbiera i udostępnia następujące dane:</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ciepło w parze lub gorącej wodzie w PJ dla całej Polski (publikacja zbiorcza: „Rocznik statystyczny Rzeczpospolitej Polskiej”);</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bilans ciepła w parze i gorącej wodzie dla całej Polski (folder „Energia”).</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Urząd Regulacji Energetyki publikuje coroczny raport „Energetyka cieplna w liczbach”, w którym zawarto m.in. informacje o cieple oddanym do sieci dla całej Polski w TJ, cieple dostarczonym do</w:t>
            </w:r>
            <w:r>
              <w:rPr>
                <w:rFonts w:cs="Arial"/>
                <w:color w:val="333399"/>
                <w:sz w:val="18"/>
                <w:szCs w:val="18"/>
                <w:lang w:eastAsia="pl-PL"/>
              </w:rPr>
              <w:t xml:space="preserve"> </w:t>
            </w:r>
            <w:r w:rsidRPr="00F41D8B">
              <w:rPr>
                <w:rFonts w:cs="Arial"/>
                <w:color w:val="333399"/>
                <w:sz w:val="18"/>
                <w:szCs w:val="18"/>
                <w:lang w:eastAsia="pl-PL"/>
              </w:rPr>
              <w:t>odbiorców przyłączonych do sieci dla całej Polski w TJ, produkcji i rozdysponowaniu wytworzonego ciepła według województw w TJ.</w:t>
            </w:r>
          </w:p>
        </w:tc>
      </w:tr>
      <w:tr w:rsidR="004F5BF2" w:rsidRPr="00F41D8B" w:rsidTr="007F3917">
        <w:tc>
          <w:tcPr>
            <w:tcW w:w="241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Uwagi interpretacyjne</w:t>
            </w:r>
          </w:p>
        </w:tc>
        <w:tc>
          <w:tcPr>
            <w:tcW w:w="6626" w:type="dxa"/>
            <w:shd w:val="pct5" w:color="auto" w:fill="auto"/>
            <w:vAlign w:val="center"/>
          </w:tcPr>
          <w:p w:rsidR="004F5BF2" w:rsidRPr="00F41D8B" w:rsidRDefault="004F5BF2" w:rsidP="007F3917">
            <w:pPr>
              <w:spacing w:after="0" w:line="240" w:lineRule="auto"/>
              <w:rPr>
                <w:rFonts w:cs="Arial"/>
                <w:color w:val="333399"/>
                <w:sz w:val="18"/>
                <w:szCs w:val="18"/>
                <w:u w:val="single"/>
                <w:lang w:eastAsia="pl-PL"/>
              </w:rPr>
            </w:pPr>
            <w:r w:rsidRPr="00F41D8B">
              <w:rPr>
                <w:rFonts w:cs="Arial"/>
                <w:color w:val="333399"/>
                <w:sz w:val="18"/>
                <w:szCs w:val="18"/>
                <w:u w:val="single"/>
                <w:lang w:eastAsia="pl-PL"/>
              </w:rPr>
              <w:t>Przykład:</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Przed modernizacją energetyczną w budynku przedszkola zużycie energii cieplnej wynosiło 800 GJ/rok. W wyniku głębokiej modernizacji i wymianie kotła węglowego na gazowy zużycie zmniejszyło się do 550 GJ/rok.</w:t>
            </w:r>
          </w:p>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Wartość wskaźnika wynosi - 250 GJ/rok.</w:t>
            </w:r>
          </w:p>
          <w:p w:rsidR="004F5BF2" w:rsidRPr="00F41D8B" w:rsidRDefault="004F5BF2" w:rsidP="007F3917">
            <w:pPr>
              <w:spacing w:after="0" w:line="240" w:lineRule="auto"/>
              <w:rPr>
                <w:rFonts w:cs="Arial"/>
                <w:color w:val="333399"/>
                <w:sz w:val="18"/>
                <w:szCs w:val="18"/>
                <w:lang w:eastAsia="pl-PL"/>
              </w:rPr>
            </w:pPr>
          </w:p>
        </w:tc>
      </w:tr>
    </w:tbl>
    <w:p w:rsidR="004F5BF2" w:rsidRDefault="004F5BF2">
      <w:pPr>
        <w:rPr>
          <w:rFonts w:cs="Arial"/>
          <w:sz w:val="20"/>
          <w:szCs w:val="20"/>
        </w:rPr>
      </w:pPr>
    </w:p>
    <w:tbl>
      <w:tblPr>
        <w:tblpPr w:leftFromText="141" w:rightFromText="141" w:vertAnchor="text" w:tblpY="1"/>
        <w:tblOverlap w:val="neve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6"/>
        <w:gridCol w:w="6626"/>
      </w:tblGrid>
      <w:tr w:rsidR="004F5BF2" w:rsidRPr="00F41D8B" w:rsidTr="007F3917">
        <w:tc>
          <w:tcPr>
            <w:tcW w:w="2416" w:type="dxa"/>
            <w:shd w:val="pct5" w:color="auto" w:fill="auto"/>
            <w:vAlign w:val="center"/>
          </w:tcPr>
          <w:p w:rsidR="004F5BF2" w:rsidRPr="00F41D8B" w:rsidRDefault="004F5BF2" w:rsidP="007F3917">
            <w:pPr>
              <w:spacing w:after="0" w:line="240" w:lineRule="auto"/>
              <w:rPr>
                <w:rFonts w:cs="Arial"/>
                <w:b/>
                <w:color w:val="333399"/>
                <w:sz w:val="18"/>
                <w:szCs w:val="18"/>
                <w:lang w:eastAsia="pl-PL"/>
              </w:rPr>
            </w:pPr>
            <w:r w:rsidRPr="00F41D8B">
              <w:rPr>
                <w:rFonts w:cs="Arial"/>
                <w:b/>
                <w:color w:val="333399"/>
                <w:sz w:val="18"/>
                <w:szCs w:val="18"/>
                <w:lang w:eastAsia="pl-PL"/>
              </w:rPr>
              <w:t>Nazwa wskaźnika</w:t>
            </w:r>
          </w:p>
        </w:tc>
        <w:tc>
          <w:tcPr>
            <w:tcW w:w="6626" w:type="dxa"/>
            <w:shd w:val="pct5" w:color="auto" w:fill="auto"/>
            <w:vAlign w:val="center"/>
          </w:tcPr>
          <w:p w:rsidR="004F5BF2" w:rsidRPr="00F41D8B" w:rsidRDefault="004F5BF2" w:rsidP="007F3917">
            <w:pPr>
              <w:spacing w:after="0" w:line="240" w:lineRule="auto"/>
              <w:rPr>
                <w:rFonts w:cs="Arial"/>
                <w:b/>
                <w:color w:val="333399"/>
                <w:sz w:val="18"/>
                <w:szCs w:val="18"/>
                <w:lang w:eastAsia="pl-PL"/>
              </w:rPr>
            </w:pPr>
            <w:r w:rsidRPr="00F41D8B">
              <w:rPr>
                <w:rFonts w:cs="Arial"/>
                <w:b/>
                <w:color w:val="333399"/>
                <w:sz w:val="18"/>
                <w:szCs w:val="18"/>
                <w:lang w:eastAsia="pl-PL"/>
              </w:rPr>
              <w:t>Zmniejszenie zużycia energii końcowej w wyniku realizacji projektów [GJ/rok]</w:t>
            </w:r>
          </w:p>
        </w:tc>
      </w:tr>
      <w:tr w:rsidR="004F5BF2" w:rsidRPr="00F41D8B" w:rsidTr="007F3917">
        <w:trPr>
          <w:trHeight w:val="1564"/>
        </w:trPr>
        <w:tc>
          <w:tcPr>
            <w:tcW w:w="241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Definicja wskaźnika</w:t>
            </w:r>
          </w:p>
        </w:tc>
        <w:tc>
          <w:tcPr>
            <w:tcW w:w="6626" w:type="dxa"/>
            <w:shd w:val="pct5" w:color="auto" w:fill="auto"/>
            <w:vAlign w:val="center"/>
          </w:tcPr>
          <w:p w:rsidR="004F5BF2"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 xml:space="preserve">Przez bezpośrednie (końcowe) zużycie energii, wyrażone w GJ/rok, w procesie technologicznym (w  tym wytwarzania ciepła na cele bytowe) należy rozumieć: </w:t>
            </w:r>
          </w:p>
          <w:p w:rsidR="004F5BF2"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 xml:space="preserve">1. zużycie poszczególnych nośników energii nie podlegających dalszemu przetwarzaniu na inne  nośniki energii, </w:t>
            </w:r>
          </w:p>
          <w:p w:rsidR="004F5BF2" w:rsidRPr="00F41D8B" w:rsidRDefault="004F5BF2" w:rsidP="007F3917">
            <w:pPr>
              <w:spacing w:after="0" w:line="240" w:lineRule="auto"/>
              <w:rPr>
                <w:rFonts w:cs="Arial"/>
                <w:i/>
                <w:color w:val="333399"/>
                <w:sz w:val="18"/>
                <w:szCs w:val="18"/>
                <w:lang w:eastAsia="pl-PL"/>
              </w:rPr>
            </w:pPr>
            <w:r w:rsidRPr="00F41D8B">
              <w:rPr>
                <w:rFonts w:cs="Arial"/>
                <w:color w:val="333399"/>
                <w:sz w:val="18"/>
                <w:szCs w:val="18"/>
                <w:lang w:eastAsia="pl-PL"/>
              </w:rPr>
              <w:t>2. zużycie energii doprowadzonej do procesu technologicznego za pośrednictwem tzw. mediów (np.  wody przemysłowej, sprężonego powietrza, tlenu, azotu).</w:t>
            </w:r>
          </w:p>
        </w:tc>
      </w:tr>
      <w:tr w:rsidR="004F5BF2" w:rsidRPr="00F41D8B" w:rsidTr="007F3917">
        <w:tc>
          <w:tcPr>
            <w:tcW w:w="241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Informacje o dostępnych danych i wskaźnikach występujących w statystyce publicznej</w:t>
            </w:r>
          </w:p>
        </w:tc>
        <w:tc>
          <w:tcPr>
            <w:tcW w:w="662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Pr>
                <w:rFonts w:cs="Arial"/>
                <w:color w:val="333399"/>
                <w:sz w:val="18"/>
                <w:szCs w:val="18"/>
                <w:lang w:eastAsia="pl-PL"/>
              </w:rPr>
              <w:t>Nie dotyczy</w:t>
            </w:r>
          </w:p>
        </w:tc>
      </w:tr>
      <w:tr w:rsidR="004F5BF2" w:rsidRPr="00F41D8B" w:rsidTr="007F3917">
        <w:tc>
          <w:tcPr>
            <w:tcW w:w="2416" w:type="dxa"/>
            <w:shd w:val="pct5" w:color="auto" w:fill="auto"/>
            <w:vAlign w:val="center"/>
          </w:tcPr>
          <w:p w:rsidR="004F5BF2" w:rsidRPr="00F41D8B" w:rsidRDefault="004F5BF2" w:rsidP="007F3917">
            <w:pPr>
              <w:spacing w:after="0" w:line="240" w:lineRule="auto"/>
              <w:rPr>
                <w:rFonts w:cs="Arial"/>
                <w:color w:val="333399"/>
                <w:sz w:val="18"/>
                <w:szCs w:val="18"/>
                <w:lang w:eastAsia="pl-PL"/>
              </w:rPr>
            </w:pPr>
            <w:r w:rsidRPr="00F41D8B">
              <w:rPr>
                <w:rFonts w:cs="Arial"/>
                <w:color w:val="333399"/>
                <w:sz w:val="18"/>
                <w:szCs w:val="18"/>
                <w:lang w:eastAsia="pl-PL"/>
              </w:rPr>
              <w:t>Uwagi interpretacyjne</w:t>
            </w:r>
          </w:p>
        </w:tc>
        <w:tc>
          <w:tcPr>
            <w:tcW w:w="6626" w:type="dxa"/>
            <w:shd w:val="pct5" w:color="auto" w:fill="auto"/>
            <w:vAlign w:val="center"/>
          </w:tcPr>
          <w:p w:rsidR="004F5BF2" w:rsidRPr="00CE260B" w:rsidRDefault="004F5BF2" w:rsidP="007F3917">
            <w:pPr>
              <w:spacing w:after="0" w:line="240" w:lineRule="auto"/>
              <w:rPr>
                <w:rFonts w:cs="Arial"/>
                <w:color w:val="333399"/>
                <w:sz w:val="18"/>
                <w:szCs w:val="18"/>
                <w:lang w:eastAsia="pl-PL"/>
              </w:rPr>
            </w:pPr>
            <w:r w:rsidRPr="00CE260B">
              <w:rPr>
                <w:rFonts w:cs="Arial"/>
                <w:color w:val="333399"/>
                <w:sz w:val="18"/>
                <w:szCs w:val="18"/>
                <w:lang w:eastAsia="pl-PL"/>
              </w:rPr>
              <w:t>Wskaźnik obejmuje ilość zaoszczędzonej w wyniku realizacji projektu finalnej energii elektrycznej, cieplnej (chłodu) w ciągu 12 miesięcy po zakończeniu projektu w stosunku do roku bazowego.</w:t>
            </w:r>
          </w:p>
          <w:p w:rsidR="004F5BF2" w:rsidRDefault="004F5BF2" w:rsidP="007F3917">
            <w:pPr>
              <w:spacing w:after="0" w:line="240" w:lineRule="auto"/>
              <w:rPr>
                <w:rFonts w:cs="Arial"/>
                <w:color w:val="333399"/>
                <w:sz w:val="18"/>
                <w:szCs w:val="18"/>
                <w:u w:val="single"/>
                <w:lang w:eastAsia="pl-PL"/>
              </w:rPr>
            </w:pPr>
            <w:r w:rsidRPr="00CE260B">
              <w:rPr>
                <w:rFonts w:cs="Arial"/>
                <w:color w:val="333399"/>
                <w:sz w:val="18"/>
                <w:szCs w:val="18"/>
                <w:lang w:eastAsia="pl-PL"/>
              </w:rPr>
              <w:t>W przypadku modernizacji energetycznej budynków wskaźnik dotyczy różnicy między rocznym zużyciem energii elektrycznej, cieplnej (chłodu) w roku bazowym w stosunku do zużycia tej energii po zakończeniu projektu.</w:t>
            </w:r>
          </w:p>
          <w:p w:rsidR="004F5BF2" w:rsidRPr="00CE260B" w:rsidRDefault="004F5BF2" w:rsidP="007F3917">
            <w:pPr>
              <w:spacing w:after="0" w:line="240" w:lineRule="auto"/>
              <w:rPr>
                <w:rFonts w:cs="Arial"/>
                <w:color w:val="333399"/>
                <w:sz w:val="18"/>
                <w:szCs w:val="18"/>
                <w:lang w:eastAsia="pl-PL"/>
              </w:rPr>
            </w:pPr>
            <w:r w:rsidRPr="00CE260B">
              <w:rPr>
                <w:rFonts w:cs="Arial"/>
                <w:color w:val="333399"/>
                <w:sz w:val="18"/>
                <w:szCs w:val="18"/>
                <w:lang w:eastAsia="pl-PL"/>
              </w:rPr>
              <w:lastRenderedPageBreak/>
              <w:t xml:space="preserve">Do przeliczenia jednostek miary należy przyjąć, że 1 </w:t>
            </w:r>
            <w:proofErr w:type="spellStart"/>
            <w:r w:rsidRPr="00CE260B">
              <w:rPr>
                <w:rFonts w:cs="Arial"/>
                <w:color w:val="333399"/>
                <w:sz w:val="18"/>
                <w:szCs w:val="18"/>
                <w:lang w:eastAsia="pl-PL"/>
              </w:rPr>
              <w:t>MWh</w:t>
            </w:r>
            <w:proofErr w:type="spellEnd"/>
            <w:r w:rsidRPr="00CE260B">
              <w:rPr>
                <w:rFonts w:cs="Arial"/>
                <w:color w:val="333399"/>
                <w:sz w:val="18"/>
                <w:szCs w:val="18"/>
                <w:lang w:eastAsia="pl-PL"/>
              </w:rPr>
              <w:t xml:space="preserve"> = 3,6 GJ.</w:t>
            </w:r>
          </w:p>
          <w:p w:rsidR="004F5BF2" w:rsidRPr="00F41D8B" w:rsidRDefault="004F5BF2" w:rsidP="007F3917">
            <w:pPr>
              <w:spacing w:after="0" w:line="240" w:lineRule="auto"/>
              <w:rPr>
                <w:rFonts w:cs="Arial"/>
                <w:color w:val="333399"/>
                <w:sz w:val="18"/>
                <w:szCs w:val="18"/>
                <w:u w:val="single"/>
                <w:lang w:eastAsia="pl-PL"/>
              </w:rPr>
            </w:pPr>
            <w:r w:rsidRPr="00F41D8B">
              <w:rPr>
                <w:rFonts w:cs="Arial"/>
                <w:color w:val="333399"/>
                <w:sz w:val="18"/>
                <w:szCs w:val="18"/>
                <w:u w:val="single"/>
                <w:lang w:eastAsia="pl-PL"/>
              </w:rPr>
              <w:t>Przykład:</w:t>
            </w:r>
          </w:p>
          <w:p w:rsidR="004F5BF2" w:rsidRPr="00CE260B" w:rsidRDefault="004F5BF2" w:rsidP="007F3917">
            <w:pPr>
              <w:spacing w:after="0" w:line="240" w:lineRule="auto"/>
              <w:rPr>
                <w:rFonts w:cs="Arial"/>
                <w:color w:val="333399"/>
                <w:sz w:val="18"/>
                <w:szCs w:val="18"/>
                <w:lang w:eastAsia="pl-PL"/>
              </w:rPr>
            </w:pPr>
            <w:r w:rsidRPr="00CE260B">
              <w:rPr>
                <w:rFonts w:cs="Arial"/>
                <w:color w:val="333399"/>
                <w:sz w:val="18"/>
                <w:szCs w:val="18"/>
                <w:lang w:eastAsia="pl-PL"/>
              </w:rPr>
              <w:t>W wyniku modernizacji energetycznej roczne zużycie energii końcowej w budynku szkoły A zmniejszyło się z 1600 GJ do 750 GJ.</w:t>
            </w:r>
          </w:p>
          <w:p w:rsidR="004F5BF2" w:rsidRPr="00F41D8B" w:rsidRDefault="004F5BF2" w:rsidP="007F3917">
            <w:pPr>
              <w:spacing w:after="0" w:line="240" w:lineRule="auto"/>
              <w:rPr>
                <w:rFonts w:cs="Arial"/>
                <w:color w:val="333399"/>
                <w:sz w:val="18"/>
                <w:szCs w:val="18"/>
                <w:lang w:eastAsia="pl-PL"/>
              </w:rPr>
            </w:pPr>
            <w:r w:rsidRPr="00CE260B">
              <w:rPr>
                <w:rFonts w:cs="Arial"/>
                <w:color w:val="333399"/>
                <w:sz w:val="18"/>
                <w:szCs w:val="18"/>
                <w:lang w:eastAsia="pl-PL"/>
              </w:rPr>
              <w:t>Wartość wskaźnika wynosi: 850 GJ.</w:t>
            </w:r>
          </w:p>
          <w:p w:rsidR="004F5BF2" w:rsidRPr="00F41D8B" w:rsidRDefault="004F5BF2" w:rsidP="007F3917">
            <w:pPr>
              <w:spacing w:after="0" w:line="240" w:lineRule="auto"/>
              <w:rPr>
                <w:rFonts w:cs="Arial"/>
                <w:color w:val="333399"/>
                <w:sz w:val="18"/>
                <w:szCs w:val="18"/>
                <w:lang w:eastAsia="pl-PL"/>
              </w:rPr>
            </w:pPr>
          </w:p>
        </w:tc>
      </w:tr>
    </w:tbl>
    <w:p w:rsidR="0096105B" w:rsidRDefault="0096105B" w:rsidP="00823AD7">
      <w:pPr>
        <w:rPr>
          <w:b/>
          <w:sz w:val="20"/>
          <w:szCs w:val="20"/>
        </w:rPr>
      </w:pP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4"/>
        <w:gridCol w:w="6628"/>
      </w:tblGrid>
      <w:tr w:rsidR="00727B03" w:rsidRPr="00727B03" w:rsidTr="00DC2D5A">
        <w:trPr>
          <w:trHeight w:val="1079"/>
        </w:trPr>
        <w:tc>
          <w:tcPr>
            <w:tcW w:w="2414" w:type="dxa"/>
            <w:shd w:val="pct5" w:color="auto" w:fill="auto"/>
            <w:vAlign w:val="center"/>
          </w:tcPr>
          <w:p w:rsidR="00727B03" w:rsidRPr="00727B03" w:rsidRDefault="00727B03" w:rsidP="00727B03">
            <w:pPr>
              <w:spacing w:after="0" w:line="240" w:lineRule="auto"/>
              <w:rPr>
                <w:rFonts w:cs="Arial"/>
                <w:b/>
                <w:color w:val="333399"/>
                <w:sz w:val="20"/>
                <w:szCs w:val="20"/>
                <w:lang w:eastAsia="pl-PL"/>
              </w:rPr>
            </w:pPr>
            <w:r w:rsidRPr="00727B03">
              <w:rPr>
                <w:rFonts w:cs="Arial"/>
                <w:b/>
                <w:color w:val="333399"/>
                <w:sz w:val="20"/>
                <w:szCs w:val="20"/>
                <w:lang w:eastAsia="pl-PL"/>
              </w:rPr>
              <w:t>Nazwa wskaźnika</w:t>
            </w:r>
          </w:p>
        </w:tc>
        <w:tc>
          <w:tcPr>
            <w:tcW w:w="6628" w:type="dxa"/>
            <w:shd w:val="pct5" w:color="auto" w:fill="auto"/>
            <w:vAlign w:val="center"/>
          </w:tcPr>
          <w:p w:rsidR="00727B03" w:rsidRPr="00727B03" w:rsidRDefault="00727B03" w:rsidP="00727B03">
            <w:pPr>
              <w:spacing w:after="0" w:line="240" w:lineRule="auto"/>
              <w:rPr>
                <w:rFonts w:cs="Arial"/>
                <w:b/>
                <w:color w:val="333399"/>
                <w:sz w:val="20"/>
                <w:szCs w:val="20"/>
                <w:lang w:eastAsia="pl-PL"/>
              </w:rPr>
            </w:pPr>
            <w:r w:rsidRPr="00727B03">
              <w:rPr>
                <w:rFonts w:cs="Arial"/>
                <w:b/>
                <w:color w:val="333399"/>
                <w:sz w:val="20"/>
                <w:szCs w:val="20"/>
                <w:lang w:eastAsia="pl-PL"/>
              </w:rPr>
              <w:t>Wzrost zatrudnienia we wspieranych podmiotach (innych niż przedsiębiorstwa) [EPC] / Wzrost zatrudnienia we wspieranych podmiotach (innych niż przedsiębiorstwa) – kobiety [EPC] / Wzrost zatrudnienia we wspieranych podmiotach (innych niż przedsiębiorstwa) – mężczyźni [EPC]</w:t>
            </w:r>
          </w:p>
        </w:tc>
      </w:tr>
      <w:tr w:rsidR="00727B03" w:rsidRPr="00727B03" w:rsidTr="00DC2D5A">
        <w:tc>
          <w:tcPr>
            <w:tcW w:w="2414" w:type="dxa"/>
            <w:shd w:val="pct5" w:color="auto" w:fill="auto"/>
            <w:vAlign w:val="center"/>
          </w:tcPr>
          <w:p w:rsidR="00727B03" w:rsidRPr="00727B03" w:rsidRDefault="00727B03" w:rsidP="00727B03">
            <w:pPr>
              <w:spacing w:after="0" w:line="240" w:lineRule="auto"/>
              <w:rPr>
                <w:rFonts w:cs="Arial"/>
                <w:color w:val="333399"/>
                <w:sz w:val="20"/>
                <w:szCs w:val="20"/>
                <w:lang w:eastAsia="pl-PL"/>
              </w:rPr>
            </w:pPr>
            <w:r w:rsidRPr="00727B03">
              <w:rPr>
                <w:rFonts w:cs="Arial"/>
                <w:color w:val="333399"/>
                <w:sz w:val="20"/>
                <w:szCs w:val="20"/>
                <w:lang w:eastAsia="pl-PL"/>
              </w:rPr>
              <w:t>Definicja wskaźnika</w:t>
            </w:r>
          </w:p>
        </w:tc>
        <w:tc>
          <w:tcPr>
            <w:tcW w:w="6628" w:type="dxa"/>
            <w:shd w:val="pct5" w:color="auto" w:fill="auto"/>
            <w:vAlign w:val="center"/>
          </w:tcPr>
          <w:p w:rsidR="00727B03" w:rsidRPr="00727B03" w:rsidRDefault="00727B03" w:rsidP="00727B03">
            <w:pPr>
              <w:spacing w:after="0" w:line="240" w:lineRule="auto"/>
              <w:rPr>
                <w:rFonts w:cs="Arial"/>
                <w:color w:val="333399"/>
                <w:sz w:val="20"/>
                <w:szCs w:val="20"/>
                <w:lang w:eastAsia="pl-PL"/>
              </w:rPr>
            </w:pPr>
            <w:r w:rsidRPr="00727B03">
              <w:rPr>
                <w:rFonts w:cs="Arial"/>
                <w:color w:val="333399"/>
                <w:sz w:val="20"/>
                <w:szCs w:val="20"/>
                <w:lang w:eastAsia="pl-PL"/>
              </w:rPr>
              <w:t>Liczba etatów utworzonych w podmiotach innych niż przedsiębiorstwa w wyniku realizacji projektu wykazywana w ekwiwalencie pełnego czasu pracy (EPC), przy czym etaty częściowe podlegają sumowaniu lecz nie są zaokrąglane do pełnych jednostek. Dotyczy zatrudnionych na podstawie umowy o pracę (nie dotyczy umów cywilnoprawnych).</w:t>
            </w:r>
          </w:p>
          <w:p w:rsidR="00727B03" w:rsidRPr="00727B03" w:rsidRDefault="00727B03" w:rsidP="00727B03">
            <w:pPr>
              <w:spacing w:after="0" w:line="240" w:lineRule="auto"/>
              <w:rPr>
                <w:rFonts w:cs="Arial"/>
                <w:color w:val="333399"/>
                <w:sz w:val="20"/>
                <w:szCs w:val="20"/>
                <w:lang w:eastAsia="pl-PL"/>
              </w:rPr>
            </w:pPr>
            <w:r w:rsidRPr="00727B03">
              <w:rPr>
                <w:rFonts w:cs="Arial"/>
                <w:color w:val="333399"/>
                <w:sz w:val="20"/>
                <w:szCs w:val="20"/>
                <w:lang w:eastAsia="pl-PL"/>
              </w:rPr>
              <w:t>Wskaźnik ujmuje wzrost zatrudnienia, który jest bezpośrednią konsekwencją realizacji projektu (nie wlicza się pracowników zatrudnionych do realizacji projektu). Jeśli łączne zatrudnienie w podmiocie nie wzrasta, wartość jest równa zero - jest to traktowane jako wyrównanie, a nie zwiększenie. Zachowane itp. miejsca pracy nie są wliczane.</w:t>
            </w:r>
          </w:p>
          <w:p w:rsidR="00727B03" w:rsidRPr="00727B03" w:rsidRDefault="00727B03" w:rsidP="00727B03">
            <w:pPr>
              <w:spacing w:after="0" w:line="240" w:lineRule="auto"/>
              <w:rPr>
                <w:rFonts w:cs="Arial"/>
                <w:color w:val="333399"/>
                <w:sz w:val="20"/>
                <w:szCs w:val="20"/>
                <w:lang w:eastAsia="pl-PL"/>
              </w:rPr>
            </w:pPr>
          </w:p>
          <w:p w:rsidR="00727B03" w:rsidRPr="00727B03" w:rsidRDefault="00727B03" w:rsidP="00727B03">
            <w:pPr>
              <w:spacing w:after="0" w:line="240" w:lineRule="auto"/>
              <w:rPr>
                <w:rFonts w:cs="Arial"/>
                <w:color w:val="333399"/>
                <w:sz w:val="20"/>
                <w:szCs w:val="20"/>
                <w:lang w:eastAsia="pl-PL"/>
              </w:rPr>
            </w:pPr>
            <w:r w:rsidRPr="00727B03">
              <w:rPr>
                <w:rFonts w:cs="Arial"/>
                <w:color w:val="333399"/>
                <w:sz w:val="20"/>
                <w:szCs w:val="20"/>
                <w:lang w:eastAsia="pl-PL"/>
              </w:rPr>
              <w:t>Wskaźnik należy mierzyć w rozbiciu na Kobiety (K) i Mężczyzn (M) oraz Ogółem (O).</w:t>
            </w:r>
          </w:p>
          <w:p w:rsidR="00727B03" w:rsidRPr="00727B03" w:rsidRDefault="00727B03" w:rsidP="00727B03">
            <w:pPr>
              <w:spacing w:after="0" w:line="240" w:lineRule="auto"/>
              <w:rPr>
                <w:rFonts w:cs="Arial"/>
                <w:color w:val="333399"/>
                <w:sz w:val="20"/>
                <w:szCs w:val="20"/>
                <w:lang w:eastAsia="pl-PL"/>
              </w:rPr>
            </w:pPr>
          </w:p>
        </w:tc>
      </w:tr>
    </w:tbl>
    <w:p w:rsidR="00727B03" w:rsidRDefault="00727B03" w:rsidP="00823AD7">
      <w:pPr>
        <w:rPr>
          <w:b/>
          <w:sz w:val="20"/>
          <w:szCs w:val="20"/>
        </w:rPr>
      </w:pP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4"/>
        <w:gridCol w:w="6628"/>
      </w:tblGrid>
      <w:tr w:rsidR="00727B03" w:rsidRPr="00727B03" w:rsidTr="00DC2D5A">
        <w:tc>
          <w:tcPr>
            <w:tcW w:w="2414" w:type="dxa"/>
            <w:shd w:val="pct5" w:color="auto" w:fill="auto"/>
            <w:vAlign w:val="center"/>
          </w:tcPr>
          <w:p w:rsidR="00727B03" w:rsidRPr="00727B03" w:rsidRDefault="00727B03" w:rsidP="00727B03">
            <w:pPr>
              <w:spacing w:after="0" w:line="240" w:lineRule="auto"/>
              <w:rPr>
                <w:rFonts w:cs="Arial"/>
                <w:b/>
                <w:color w:val="333399"/>
                <w:sz w:val="20"/>
                <w:szCs w:val="20"/>
                <w:lang w:eastAsia="pl-PL"/>
              </w:rPr>
            </w:pPr>
            <w:r w:rsidRPr="00727B03">
              <w:rPr>
                <w:rFonts w:cs="Arial"/>
                <w:b/>
                <w:color w:val="333399"/>
                <w:sz w:val="20"/>
                <w:szCs w:val="20"/>
                <w:lang w:eastAsia="pl-PL"/>
              </w:rPr>
              <w:t>Nazwa wskaźnika</w:t>
            </w:r>
          </w:p>
        </w:tc>
        <w:tc>
          <w:tcPr>
            <w:tcW w:w="6628" w:type="dxa"/>
            <w:shd w:val="pct5" w:color="auto" w:fill="auto"/>
            <w:vAlign w:val="center"/>
          </w:tcPr>
          <w:p w:rsidR="00727B03" w:rsidRPr="00727B03" w:rsidRDefault="00727B03" w:rsidP="00727B03">
            <w:pPr>
              <w:spacing w:after="0" w:line="240" w:lineRule="auto"/>
              <w:rPr>
                <w:rFonts w:cs="Arial"/>
                <w:b/>
                <w:color w:val="333399"/>
                <w:sz w:val="20"/>
                <w:szCs w:val="20"/>
                <w:lang w:eastAsia="pl-PL"/>
              </w:rPr>
            </w:pPr>
            <w:r w:rsidRPr="00727B03">
              <w:rPr>
                <w:rFonts w:cs="Arial"/>
                <w:b/>
                <w:color w:val="333399"/>
                <w:sz w:val="20"/>
                <w:szCs w:val="20"/>
                <w:lang w:eastAsia="pl-PL"/>
              </w:rPr>
              <w:t xml:space="preserve">Liczba utrzymanych miejsc pracy  [EPC] / </w:t>
            </w:r>
          </w:p>
          <w:p w:rsidR="00727B03" w:rsidRPr="00727B03" w:rsidRDefault="00727B03" w:rsidP="00727B03">
            <w:pPr>
              <w:spacing w:after="0" w:line="240" w:lineRule="auto"/>
              <w:rPr>
                <w:rFonts w:cs="Arial"/>
                <w:b/>
                <w:color w:val="333399"/>
                <w:sz w:val="20"/>
                <w:szCs w:val="20"/>
                <w:lang w:eastAsia="pl-PL"/>
              </w:rPr>
            </w:pPr>
            <w:r w:rsidRPr="00727B03">
              <w:rPr>
                <w:rFonts w:cs="Arial"/>
                <w:b/>
                <w:color w:val="333399"/>
                <w:sz w:val="20"/>
                <w:szCs w:val="20"/>
                <w:lang w:eastAsia="pl-PL"/>
              </w:rPr>
              <w:t xml:space="preserve">Liczba utrzymanych miejsc pracy - kobiety [EPC] / </w:t>
            </w:r>
          </w:p>
          <w:p w:rsidR="00727B03" w:rsidRPr="00727B03" w:rsidRDefault="00727B03" w:rsidP="00727B03">
            <w:pPr>
              <w:spacing w:after="0" w:line="240" w:lineRule="auto"/>
              <w:rPr>
                <w:rFonts w:cs="Arial"/>
                <w:b/>
                <w:color w:val="333399"/>
                <w:sz w:val="20"/>
                <w:szCs w:val="20"/>
                <w:lang w:eastAsia="pl-PL"/>
              </w:rPr>
            </w:pPr>
            <w:r w:rsidRPr="00727B03">
              <w:rPr>
                <w:rFonts w:cs="Arial"/>
                <w:b/>
                <w:color w:val="333399"/>
                <w:sz w:val="20"/>
                <w:szCs w:val="20"/>
                <w:lang w:eastAsia="pl-PL"/>
              </w:rPr>
              <w:t>Liczba utrzymanych miejsc pracy - mężczyźni [EPC]</w:t>
            </w:r>
          </w:p>
        </w:tc>
      </w:tr>
      <w:tr w:rsidR="00727B03" w:rsidRPr="00727B03" w:rsidTr="00DC2D5A">
        <w:tc>
          <w:tcPr>
            <w:tcW w:w="2414" w:type="dxa"/>
            <w:shd w:val="pct5" w:color="auto" w:fill="auto"/>
            <w:vAlign w:val="center"/>
          </w:tcPr>
          <w:p w:rsidR="00727B03" w:rsidRPr="00727B03" w:rsidRDefault="00727B03" w:rsidP="00727B03">
            <w:pPr>
              <w:spacing w:after="0" w:line="240" w:lineRule="auto"/>
              <w:rPr>
                <w:rFonts w:cs="Arial"/>
                <w:color w:val="333399"/>
                <w:sz w:val="20"/>
                <w:szCs w:val="20"/>
                <w:lang w:eastAsia="pl-PL"/>
              </w:rPr>
            </w:pPr>
            <w:r w:rsidRPr="00727B03">
              <w:rPr>
                <w:rFonts w:cs="Arial"/>
                <w:color w:val="333399"/>
                <w:sz w:val="20"/>
                <w:szCs w:val="20"/>
                <w:lang w:eastAsia="pl-PL"/>
              </w:rPr>
              <w:t>Definicja wskaźnika</w:t>
            </w:r>
          </w:p>
        </w:tc>
        <w:tc>
          <w:tcPr>
            <w:tcW w:w="6628" w:type="dxa"/>
            <w:shd w:val="pct5" w:color="auto" w:fill="auto"/>
            <w:vAlign w:val="center"/>
          </w:tcPr>
          <w:p w:rsidR="00727B03" w:rsidRPr="00727B03" w:rsidRDefault="00727B03" w:rsidP="00727B03">
            <w:pPr>
              <w:autoSpaceDE w:val="0"/>
              <w:autoSpaceDN w:val="0"/>
              <w:adjustRightInd w:val="0"/>
              <w:spacing w:before="120" w:after="0" w:line="240" w:lineRule="auto"/>
              <w:jc w:val="both"/>
              <w:rPr>
                <w:rFonts w:cs="Arial"/>
                <w:color w:val="333399"/>
                <w:sz w:val="20"/>
                <w:szCs w:val="20"/>
                <w:lang w:eastAsia="pl-PL"/>
              </w:rPr>
            </w:pPr>
            <w:r w:rsidRPr="00727B03">
              <w:rPr>
                <w:rFonts w:cs="Arial"/>
                <w:color w:val="333399"/>
                <w:sz w:val="20"/>
                <w:szCs w:val="20"/>
                <w:lang w:eastAsia="pl-PL"/>
              </w:rPr>
              <w:t>Liczba etatów brutto w pełnym wymiarze czasu pracy, które zostały utrzymane w wyniku wsparcia, w ciągu pełnego roku kalendarzowego od zakończenia realizacji projektu, a które byłyby zlikwidowane, gdyby tego wsparcia Beneficjent nie uzyskał.</w:t>
            </w:r>
          </w:p>
          <w:p w:rsidR="00727B03" w:rsidRPr="00667971" w:rsidRDefault="00727B03" w:rsidP="00727B03">
            <w:pPr>
              <w:autoSpaceDE w:val="0"/>
              <w:autoSpaceDN w:val="0"/>
              <w:adjustRightInd w:val="0"/>
              <w:spacing w:before="120" w:after="0" w:line="240" w:lineRule="auto"/>
              <w:jc w:val="both"/>
              <w:rPr>
                <w:rFonts w:cs="Arial"/>
                <w:color w:val="333399"/>
                <w:sz w:val="20"/>
                <w:szCs w:val="20"/>
                <w:lang w:eastAsia="pl-PL"/>
              </w:rPr>
            </w:pPr>
            <w:r w:rsidRPr="00727B03">
              <w:rPr>
                <w:rFonts w:cs="Arial"/>
                <w:color w:val="333399"/>
                <w:sz w:val="20"/>
                <w:szCs w:val="20"/>
                <w:lang w:eastAsia="pl-PL"/>
              </w:rPr>
              <w:t>Wskaźnik należy mierzyć w rozbiciu na Kobiety (K) i Mężczyzn (M) oraz Ogółem (O).</w:t>
            </w:r>
          </w:p>
        </w:tc>
      </w:tr>
    </w:tbl>
    <w:p w:rsidR="00727B03" w:rsidRPr="00727B03" w:rsidRDefault="00727B03" w:rsidP="00727B03">
      <w:pPr>
        <w:rPr>
          <w:b/>
          <w:sz w:val="20"/>
          <w:szCs w:val="20"/>
        </w:rPr>
      </w:pPr>
    </w:p>
    <w:tbl>
      <w:tblPr>
        <w:tblW w:w="0" w:type="auto"/>
        <w:tblBorders>
          <w:top w:val="single" w:sz="12" w:space="0" w:color="666699"/>
          <w:left w:val="single" w:sz="12" w:space="0" w:color="666699"/>
          <w:bottom w:val="single" w:sz="12" w:space="0" w:color="666699"/>
          <w:right w:val="single" w:sz="12" w:space="0" w:color="666699"/>
          <w:insideH w:val="single" w:sz="12" w:space="0" w:color="666699"/>
          <w:insideV w:val="single" w:sz="12" w:space="0" w:color="666699"/>
        </w:tblBorders>
        <w:tblLook w:val="01E0"/>
      </w:tblPr>
      <w:tblGrid>
        <w:gridCol w:w="2414"/>
        <w:gridCol w:w="6628"/>
      </w:tblGrid>
      <w:tr w:rsidR="00727B03" w:rsidRPr="00727B03" w:rsidTr="00DC2D5A">
        <w:tc>
          <w:tcPr>
            <w:tcW w:w="2414" w:type="dxa"/>
            <w:shd w:val="pct5" w:color="auto" w:fill="auto"/>
            <w:vAlign w:val="center"/>
          </w:tcPr>
          <w:p w:rsidR="00727B03" w:rsidRPr="00727B03" w:rsidRDefault="00727B03" w:rsidP="00727B03">
            <w:pPr>
              <w:spacing w:after="0" w:line="240" w:lineRule="auto"/>
              <w:rPr>
                <w:rFonts w:cs="Arial"/>
                <w:b/>
                <w:color w:val="333399"/>
                <w:sz w:val="20"/>
                <w:szCs w:val="20"/>
                <w:lang w:eastAsia="pl-PL"/>
              </w:rPr>
            </w:pPr>
            <w:r w:rsidRPr="00727B03">
              <w:rPr>
                <w:rFonts w:cs="Arial"/>
                <w:b/>
                <w:color w:val="333399"/>
                <w:sz w:val="20"/>
                <w:szCs w:val="20"/>
                <w:lang w:eastAsia="pl-PL"/>
              </w:rPr>
              <w:t>Nazwa wskaźnika</w:t>
            </w:r>
          </w:p>
        </w:tc>
        <w:tc>
          <w:tcPr>
            <w:tcW w:w="6628" w:type="dxa"/>
            <w:shd w:val="pct5" w:color="auto" w:fill="auto"/>
            <w:vAlign w:val="center"/>
          </w:tcPr>
          <w:p w:rsidR="00727B03" w:rsidRPr="00727B03" w:rsidRDefault="00727B03" w:rsidP="00727B03">
            <w:pPr>
              <w:spacing w:after="0" w:line="240" w:lineRule="auto"/>
              <w:rPr>
                <w:rFonts w:cs="Arial"/>
                <w:b/>
                <w:color w:val="333399"/>
                <w:sz w:val="20"/>
                <w:szCs w:val="20"/>
                <w:lang w:eastAsia="pl-PL"/>
              </w:rPr>
            </w:pPr>
            <w:r w:rsidRPr="00727B03">
              <w:rPr>
                <w:rFonts w:cs="Arial"/>
                <w:b/>
                <w:color w:val="333399"/>
                <w:sz w:val="20"/>
                <w:szCs w:val="20"/>
                <w:lang w:eastAsia="pl-PL"/>
              </w:rPr>
              <w:t xml:space="preserve">Liczba nowo utworzonych miejsc pracy – pozostałe formy [EPC] / </w:t>
            </w:r>
          </w:p>
          <w:p w:rsidR="00727B03" w:rsidRPr="00727B03" w:rsidRDefault="00727B03" w:rsidP="00727B03">
            <w:pPr>
              <w:spacing w:after="0" w:line="240" w:lineRule="auto"/>
              <w:rPr>
                <w:rFonts w:cs="Arial"/>
                <w:b/>
                <w:color w:val="333399"/>
                <w:sz w:val="20"/>
                <w:szCs w:val="20"/>
                <w:lang w:eastAsia="pl-PL"/>
              </w:rPr>
            </w:pPr>
            <w:r w:rsidRPr="00727B03">
              <w:rPr>
                <w:rFonts w:cs="Arial"/>
                <w:b/>
                <w:color w:val="333399"/>
                <w:sz w:val="20"/>
                <w:szCs w:val="20"/>
                <w:lang w:eastAsia="pl-PL"/>
              </w:rPr>
              <w:t xml:space="preserve">Liczba nowo utworzonych miejsc pracy – pozostałe formy – kobiety [EPC] / </w:t>
            </w:r>
          </w:p>
          <w:p w:rsidR="00727B03" w:rsidRPr="00727B03" w:rsidRDefault="00727B03" w:rsidP="00727B03">
            <w:pPr>
              <w:spacing w:after="0" w:line="240" w:lineRule="auto"/>
              <w:rPr>
                <w:rFonts w:cs="Arial"/>
                <w:b/>
                <w:color w:val="333399"/>
                <w:sz w:val="20"/>
                <w:szCs w:val="20"/>
                <w:lang w:eastAsia="pl-PL"/>
              </w:rPr>
            </w:pPr>
            <w:r w:rsidRPr="00727B03">
              <w:rPr>
                <w:rFonts w:cs="Arial"/>
                <w:b/>
                <w:color w:val="333399"/>
                <w:sz w:val="20"/>
                <w:szCs w:val="20"/>
                <w:lang w:eastAsia="pl-PL"/>
              </w:rPr>
              <w:t>Liczba nowo utworzonych miejsc pracy – pozostałe formy – mężczyźni [EPC]</w:t>
            </w:r>
          </w:p>
        </w:tc>
      </w:tr>
      <w:tr w:rsidR="00727B03" w:rsidRPr="00727B03" w:rsidTr="00DC2D5A">
        <w:tc>
          <w:tcPr>
            <w:tcW w:w="2414" w:type="dxa"/>
            <w:shd w:val="pct5" w:color="auto" w:fill="auto"/>
            <w:vAlign w:val="center"/>
          </w:tcPr>
          <w:p w:rsidR="00727B03" w:rsidRPr="00727B03" w:rsidRDefault="00727B03" w:rsidP="00727B03">
            <w:pPr>
              <w:spacing w:after="0" w:line="240" w:lineRule="auto"/>
              <w:rPr>
                <w:rFonts w:cs="Arial"/>
                <w:color w:val="333399"/>
                <w:sz w:val="20"/>
                <w:szCs w:val="20"/>
                <w:lang w:eastAsia="pl-PL"/>
              </w:rPr>
            </w:pPr>
            <w:r w:rsidRPr="00727B03">
              <w:rPr>
                <w:rFonts w:cs="Arial"/>
                <w:color w:val="333399"/>
                <w:sz w:val="20"/>
                <w:szCs w:val="20"/>
                <w:lang w:eastAsia="pl-PL"/>
              </w:rPr>
              <w:t>Definicja wskaźnika</w:t>
            </w:r>
          </w:p>
        </w:tc>
        <w:tc>
          <w:tcPr>
            <w:tcW w:w="6628" w:type="dxa"/>
            <w:shd w:val="pct5" w:color="auto" w:fill="auto"/>
            <w:vAlign w:val="center"/>
          </w:tcPr>
          <w:p w:rsidR="00727B03" w:rsidRPr="00727B03" w:rsidRDefault="00727B03" w:rsidP="00727B03">
            <w:pPr>
              <w:autoSpaceDE w:val="0"/>
              <w:autoSpaceDN w:val="0"/>
              <w:adjustRightInd w:val="0"/>
              <w:spacing w:before="120" w:after="0" w:line="240" w:lineRule="auto"/>
              <w:jc w:val="both"/>
              <w:rPr>
                <w:rFonts w:cs="Arial"/>
                <w:color w:val="333399"/>
                <w:sz w:val="20"/>
                <w:szCs w:val="20"/>
                <w:lang w:eastAsia="pl-PL"/>
              </w:rPr>
            </w:pPr>
            <w:r w:rsidRPr="00727B03">
              <w:rPr>
                <w:rFonts w:cs="Arial"/>
                <w:color w:val="333399"/>
                <w:sz w:val="20"/>
                <w:szCs w:val="20"/>
                <w:lang w:eastAsia="pl-PL"/>
              </w:rPr>
              <w:t>Wskaźnik odnosi się do miejsc pracy utworzonych w wyniku realizacji projektu, które nie spełniają definicji określonych dla pozostałych wskaźników dot. miejsc pracy. Służy do pomiaru liczby etatów w odniesieniu do pracowników pracujących na podstawie umów cywilnoprawnych tj.: umów o dzieło, umów zlecenia czy samozatrudnienia – kontraktu, jaki pracujących na podstawie umów o pracę dotyczących etatów nie stałych i nie trwałych - np.: do obsługi projektu, zarówno w przedsiębiorstwach jak i pozostałych podmiotach nie będących przedsiębiorstwami, zatrudnionych bezpośrednio w efekcie realizacji projektu.</w:t>
            </w:r>
          </w:p>
          <w:p w:rsidR="00727B03" w:rsidRPr="00667971" w:rsidRDefault="00727B03" w:rsidP="00727B03">
            <w:pPr>
              <w:autoSpaceDE w:val="0"/>
              <w:autoSpaceDN w:val="0"/>
              <w:adjustRightInd w:val="0"/>
              <w:spacing w:before="120" w:after="0" w:line="240" w:lineRule="auto"/>
              <w:jc w:val="both"/>
              <w:rPr>
                <w:rFonts w:cs="Arial"/>
                <w:color w:val="333399"/>
                <w:sz w:val="20"/>
                <w:szCs w:val="20"/>
                <w:lang w:eastAsia="pl-PL"/>
              </w:rPr>
            </w:pPr>
            <w:r w:rsidRPr="00727B03">
              <w:rPr>
                <w:rFonts w:cs="Arial"/>
                <w:color w:val="333399"/>
                <w:sz w:val="20"/>
                <w:szCs w:val="20"/>
                <w:lang w:eastAsia="pl-PL"/>
              </w:rPr>
              <w:t>Wskaźnik należy mierzyć w rozbiciu na Kobiety (K) i Mężczyzn (M) oraz Ogółem (O).</w:t>
            </w:r>
          </w:p>
        </w:tc>
      </w:tr>
    </w:tbl>
    <w:p w:rsidR="00727B03" w:rsidRPr="00E215CE" w:rsidRDefault="00727B03" w:rsidP="00823AD7">
      <w:pPr>
        <w:rPr>
          <w:b/>
          <w:sz w:val="20"/>
          <w:szCs w:val="20"/>
        </w:rPr>
      </w:pPr>
    </w:p>
    <w:sectPr w:rsidR="00727B03" w:rsidRPr="00E215CE" w:rsidSect="00406F36">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BD0" w:rsidRDefault="00476BD0" w:rsidP="00066C6C">
      <w:pPr>
        <w:spacing w:after="0" w:line="240" w:lineRule="auto"/>
      </w:pPr>
      <w:r>
        <w:separator/>
      </w:r>
    </w:p>
  </w:endnote>
  <w:endnote w:type="continuationSeparator" w:id="0">
    <w:p w:rsidR="00476BD0" w:rsidRDefault="00476BD0" w:rsidP="00066C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37728"/>
      <w:docPartObj>
        <w:docPartGallery w:val="Page Numbers (Bottom of Page)"/>
        <w:docPartUnique/>
      </w:docPartObj>
    </w:sdtPr>
    <w:sdtContent>
      <w:sdt>
        <w:sdtPr>
          <w:id w:val="-2137788607"/>
          <w:docPartObj>
            <w:docPartGallery w:val="Page Numbers (Top of Page)"/>
            <w:docPartUnique/>
          </w:docPartObj>
        </w:sdtPr>
        <w:sdtContent>
          <w:p w:rsidR="00406F36" w:rsidRDefault="00406F36">
            <w:pPr>
              <w:pStyle w:val="Stopka"/>
              <w:jc w:val="right"/>
            </w:pPr>
            <w:r>
              <w:t xml:space="preserve">Strona </w:t>
            </w:r>
            <w:r w:rsidR="005836A7">
              <w:rPr>
                <w:b/>
                <w:bCs/>
                <w:sz w:val="24"/>
                <w:szCs w:val="24"/>
              </w:rPr>
              <w:fldChar w:fldCharType="begin"/>
            </w:r>
            <w:r>
              <w:rPr>
                <w:b/>
                <w:bCs/>
              </w:rPr>
              <w:instrText>PAGE</w:instrText>
            </w:r>
            <w:r w:rsidR="005836A7">
              <w:rPr>
                <w:b/>
                <w:bCs/>
                <w:sz w:val="24"/>
                <w:szCs w:val="24"/>
              </w:rPr>
              <w:fldChar w:fldCharType="separate"/>
            </w:r>
            <w:r w:rsidR="004F5BF2">
              <w:rPr>
                <w:b/>
                <w:bCs/>
                <w:noProof/>
              </w:rPr>
              <w:t>9</w:t>
            </w:r>
            <w:r w:rsidR="005836A7">
              <w:rPr>
                <w:b/>
                <w:bCs/>
                <w:sz w:val="24"/>
                <w:szCs w:val="24"/>
              </w:rPr>
              <w:fldChar w:fldCharType="end"/>
            </w:r>
            <w:r>
              <w:t xml:space="preserve"> z </w:t>
            </w:r>
            <w:r w:rsidR="005836A7">
              <w:rPr>
                <w:b/>
                <w:bCs/>
                <w:sz w:val="24"/>
                <w:szCs w:val="24"/>
              </w:rPr>
              <w:fldChar w:fldCharType="begin"/>
            </w:r>
            <w:r>
              <w:rPr>
                <w:b/>
                <w:bCs/>
              </w:rPr>
              <w:instrText>NUMPAGES</w:instrText>
            </w:r>
            <w:r w:rsidR="005836A7">
              <w:rPr>
                <w:b/>
                <w:bCs/>
                <w:sz w:val="24"/>
                <w:szCs w:val="24"/>
              </w:rPr>
              <w:fldChar w:fldCharType="separate"/>
            </w:r>
            <w:r w:rsidR="004F5BF2">
              <w:rPr>
                <w:b/>
                <w:bCs/>
                <w:noProof/>
              </w:rPr>
              <w:t>10</w:t>
            </w:r>
            <w:r w:rsidR="005836A7">
              <w:rPr>
                <w:b/>
                <w:bCs/>
                <w:sz w:val="24"/>
                <w:szCs w:val="24"/>
              </w:rPr>
              <w:fldChar w:fldCharType="end"/>
            </w:r>
          </w:p>
        </w:sdtContent>
      </w:sdt>
    </w:sdtContent>
  </w:sdt>
  <w:p w:rsidR="00406F36" w:rsidRDefault="00406F3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769888"/>
      <w:docPartObj>
        <w:docPartGallery w:val="Page Numbers (Bottom of Page)"/>
        <w:docPartUnique/>
      </w:docPartObj>
    </w:sdtPr>
    <w:sdtContent>
      <w:sdt>
        <w:sdtPr>
          <w:id w:val="-1769616900"/>
          <w:docPartObj>
            <w:docPartGallery w:val="Page Numbers (Top of Page)"/>
            <w:docPartUnique/>
          </w:docPartObj>
        </w:sdtPr>
        <w:sdtContent>
          <w:p w:rsidR="00406F36" w:rsidRDefault="00406F36">
            <w:pPr>
              <w:pStyle w:val="Stopka"/>
              <w:jc w:val="right"/>
            </w:pPr>
            <w:r>
              <w:t xml:space="preserve">Strona </w:t>
            </w:r>
            <w:r w:rsidR="005836A7">
              <w:rPr>
                <w:b/>
                <w:bCs/>
                <w:sz w:val="24"/>
                <w:szCs w:val="24"/>
              </w:rPr>
              <w:fldChar w:fldCharType="begin"/>
            </w:r>
            <w:r>
              <w:rPr>
                <w:b/>
                <w:bCs/>
              </w:rPr>
              <w:instrText>PAGE</w:instrText>
            </w:r>
            <w:r w:rsidR="005836A7">
              <w:rPr>
                <w:b/>
                <w:bCs/>
                <w:sz w:val="24"/>
                <w:szCs w:val="24"/>
              </w:rPr>
              <w:fldChar w:fldCharType="separate"/>
            </w:r>
            <w:r>
              <w:rPr>
                <w:b/>
                <w:bCs/>
                <w:noProof/>
              </w:rPr>
              <w:t>1</w:t>
            </w:r>
            <w:r w:rsidR="005836A7">
              <w:rPr>
                <w:b/>
                <w:bCs/>
                <w:sz w:val="24"/>
                <w:szCs w:val="24"/>
              </w:rPr>
              <w:fldChar w:fldCharType="end"/>
            </w:r>
            <w:r>
              <w:t xml:space="preserve"> z </w:t>
            </w:r>
            <w:r w:rsidR="005836A7">
              <w:rPr>
                <w:b/>
                <w:bCs/>
                <w:sz w:val="24"/>
                <w:szCs w:val="24"/>
              </w:rPr>
              <w:fldChar w:fldCharType="begin"/>
            </w:r>
            <w:r>
              <w:rPr>
                <w:b/>
                <w:bCs/>
              </w:rPr>
              <w:instrText>NUMPAGES</w:instrText>
            </w:r>
            <w:r w:rsidR="005836A7">
              <w:rPr>
                <w:b/>
                <w:bCs/>
                <w:sz w:val="24"/>
                <w:szCs w:val="24"/>
              </w:rPr>
              <w:fldChar w:fldCharType="separate"/>
            </w:r>
            <w:r>
              <w:rPr>
                <w:b/>
                <w:bCs/>
                <w:noProof/>
              </w:rPr>
              <w:t>9</w:t>
            </w:r>
            <w:r w:rsidR="005836A7">
              <w:rPr>
                <w:b/>
                <w:bCs/>
                <w:sz w:val="24"/>
                <w:szCs w:val="24"/>
              </w:rPr>
              <w:fldChar w:fldCharType="end"/>
            </w:r>
          </w:p>
        </w:sdtContent>
      </w:sdt>
    </w:sdtContent>
  </w:sdt>
  <w:p w:rsidR="00794DB7" w:rsidRDefault="00794DB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BD0" w:rsidRDefault="00476BD0" w:rsidP="00066C6C">
      <w:pPr>
        <w:spacing w:after="0" w:line="240" w:lineRule="auto"/>
      </w:pPr>
      <w:r>
        <w:separator/>
      </w:r>
    </w:p>
  </w:footnote>
  <w:footnote w:type="continuationSeparator" w:id="0">
    <w:p w:rsidR="00476BD0" w:rsidRDefault="00476BD0" w:rsidP="00066C6C">
      <w:pPr>
        <w:spacing w:after="0" w:line="240" w:lineRule="auto"/>
      </w:pPr>
      <w:r>
        <w:continuationSeparator/>
      </w:r>
    </w:p>
  </w:footnote>
  <w:footnote w:id="1">
    <w:p w:rsidR="006957F9" w:rsidRDefault="006957F9" w:rsidP="006957F9">
      <w:pPr>
        <w:pStyle w:val="Tekstprzypisudolnego"/>
        <w:jc w:val="both"/>
      </w:pPr>
      <w:r w:rsidRPr="008331A8">
        <w:rPr>
          <w:rStyle w:val="Odwoanieprzypisudolnego"/>
          <w:sz w:val="18"/>
        </w:rPr>
        <w:footnoteRef/>
      </w:r>
      <w:r w:rsidRPr="008331A8">
        <w:rPr>
          <w:sz w:val="18"/>
        </w:rPr>
        <w:t xml:space="preserve"> Interpretacja GUNB: „…istnienie łącznika między kilkoma segmentami – czyli konstrukcji łączącej co najmniej dwa segmenty, przeznaczonej do przemieszczania się ludzi między tymi segmentami – oznacza, że każdy z tych segmentów nie może być kwalifikowany jako samodzielna konstrukcyjnie całość. Tym samym zespół segmentów (pawilonów) – trwale związanych z gruntem, wydzielonych z przestrzeni za pomocą przegród budowlanych oraz posiadających fundamenty i dach – należy traktować jako jeden budynek, jeżeli wchodzące w jego skład części są połączone ww. łącznikiem (…). Dla każdego „samodzielnego” budynku należy prowadzić jedną książkę obiektu budowlanego.” Źródło: http://www.gunb.gov.pl/dziala/pliki/ws1260515.pdf.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53B" w:rsidRDefault="00406F36" w:rsidP="00406F36">
    <w:pPr>
      <w:pStyle w:val="Nagwek"/>
      <w:jc w:val="right"/>
    </w:pPr>
    <w:r w:rsidRPr="00406F36">
      <w:t xml:space="preserve">Załącznik nr </w:t>
    </w:r>
    <w:r w:rsidR="00007A0F">
      <w:t>7</w:t>
    </w:r>
    <w:r w:rsidRPr="00406F36">
      <w:t xml:space="preserve"> do Regulaminu konkursu</w:t>
    </w:r>
    <w:r w:rsidR="008E153B">
      <w:t xml:space="preserve"> </w:t>
    </w:r>
  </w:p>
  <w:p w:rsidR="00406F36" w:rsidRDefault="008E153B" w:rsidP="00406F36">
    <w:pPr>
      <w:pStyle w:val="Nagwek"/>
      <w:jc w:val="right"/>
    </w:pPr>
    <w:r>
      <w:t xml:space="preserve">nr </w:t>
    </w:r>
    <w:r w:rsidRPr="008E153B">
      <w:t>RPZP.0</w:t>
    </w:r>
    <w:r w:rsidR="0055740D">
      <w:t>2</w:t>
    </w:r>
    <w:r w:rsidRPr="008E153B">
      <w:t>.</w:t>
    </w:r>
    <w:r w:rsidR="0055740D">
      <w:t>13</w:t>
    </w:r>
    <w:r w:rsidRPr="008E153B">
      <w:t>.00-I</w:t>
    </w:r>
    <w:r w:rsidR="00007A0F">
      <w:t>Z</w:t>
    </w:r>
    <w:r w:rsidRPr="008E153B">
      <w:t>.0</w:t>
    </w:r>
    <w:r w:rsidR="00007A0F">
      <w:t>0</w:t>
    </w:r>
    <w:r w:rsidRPr="008E153B">
      <w:t>-32-KO</w:t>
    </w:r>
    <w:r w:rsidR="0055740D">
      <w:t>1</w:t>
    </w:r>
    <w:r w:rsidRPr="008E153B">
      <w:t>/17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1DB" w:rsidRDefault="003A71DB" w:rsidP="003A71DB">
    <w:pPr>
      <w:pStyle w:val="Nagwek"/>
      <w:jc w:val="right"/>
    </w:pPr>
    <w:r>
      <w:t xml:space="preserve">Załącznik nr </w:t>
    </w:r>
    <w:r w:rsidR="00FE021B">
      <w:t>8</w:t>
    </w:r>
    <w:r>
      <w:t xml:space="preserve"> do Regulaminu </w:t>
    </w:r>
    <w:r w:rsidR="007E0311">
      <w:t>konkursu</w:t>
    </w:r>
  </w:p>
  <w:p w:rsidR="00794DB7" w:rsidRDefault="00794DB7" w:rsidP="003A71DB">
    <w:pPr>
      <w:pStyle w:val="Nagwek"/>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5B76F9"/>
    <w:rsid w:val="00007A0F"/>
    <w:rsid w:val="00047626"/>
    <w:rsid w:val="00052A37"/>
    <w:rsid w:val="00066C6C"/>
    <w:rsid w:val="000D3872"/>
    <w:rsid w:val="000E54F0"/>
    <w:rsid w:val="00105B27"/>
    <w:rsid w:val="00161F24"/>
    <w:rsid w:val="00184394"/>
    <w:rsid w:val="001B79F2"/>
    <w:rsid w:val="002D53A8"/>
    <w:rsid w:val="00304C97"/>
    <w:rsid w:val="00316D32"/>
    <w:rsid w:val="00353579"/>
    <w:rsid w:val="00354DED"/>
    <w:rsid w:val="003702B3"/>
    <w:rsid w:val="00376482"/>
    <w:rsid w:val="00377082"/>
    <w:rsid w:val="003A71DB"/>
    <w:rsid w:val="003B6A31"/>
    <w:rsid w:val="003E0868"/>
    <w:rsid w:val="003E31C0"/>
    <w:rsid w:val="003E4CCD"/>
    <w:rsid w:val="00406F36"/>
    <w:rsid w:val="00461388"/>
    <w:rsid w:val="00476BD0"/>
    <w:rsid w:val="004961B7"/>
    <w:rsid w:val="004A63F5"/>
    <w:rsid w:val="004F5BF2"/>
    <w:rsid w:val="00506612"/>
    <w:rsid w:val="0055740D"/>
    <w:rsid w:val="005836A7"/>
    <w:rsid w:val="005B0DC8"/>
    <w:rsid w:val="005B76F9"/>
    <w:rsid w:val="006353F6"/>
    <w:rsid w:val="0064315A"/>
    <w:rsid w:val="006439FE"/>
    <w:rsid w:val="00667971"/>
    <w:rsid w:val="006957F9"/>
    <w:rsid w:val="006A2A91"/>
    <w:rsid w:val="006B3745"/>
    <w:rsid w:val="00727B03"/>
    <w:rsid w:val="007611FC"/>
    <w:rsid w:val="00794DB7"/>
    <w:rsid w:val="007E0311"/>
    <w:rsid w:val="007E5196"/>
    <w:rsid w:val="007F1928"/>
    <w:rsid w:val="00823AD7"/>
    <w:rsid w:val="008304A0"/>
    <w:rsid w:val="008331A8"/>
    <w:rsid w:val="00862382"/>
    <w:rsid w:val="00891B8F"/>
    <w:rsid w:val="00896337"/>
    <w:rsid w:val="008C1B96"/>
    <w:rsid w:val="008E02B6"/>
    <w:rsid w:val="008E153B"/>
    <w:rsid w:val="008E413F"/>
    <w:rsid w:val="009073F0"/>
    <w:rsid w:val="0096105B"/>
    <w:rsid w:val="00966DD7"/>
    <w:rsid w:val="009968F1"/>
    <w:rsid w:val="009F5C1D"/>
    <w:rsid w:val="009F6FDC"/>
    <w:rsid w:val="00A426DB"/>
    <w:rsid w:val="00AE11B8"/>
    <w:rsid w:val="00AE3D69"/>
    <w:rsid w:val="00B16E69"/>
    <w:rsid w:val="00B21BD2"/>
    <w:rsid w:val="00C33579"/>
    <w:rsid w:val="00C72E48"/>
    <w:rsid w:val="00C86B4C"/>
    <w:rsid w:val="00C965A2"/>
    <w:rsid w:val="00CD73B3"/>
    <w:rsid w:val="00CE260B"/>
    <w:rsid w:val="00CF3A36"/>
    <w:rsid w:val="00D16DB3"/>
    <w:rsid w:val="00D23D27"/>
    <w:rsid w:val="00D36CF9"/>
    <w:rsid w:val="00D42625"/>
    <w:rsid w:val="00D71552"/>
    <w:rsid w:val="00D75622"/>
    <w:rsid w:val="00DB5703"/>
    <w:rsid w:val="00DB59B8"/>
    <w:rsid w:val="00E215CE"/>
    <w:rsid w:val="00E34D04"/>
    <w:rsid w:val="00E43EAE"/>
    <w:rsid w:val="00E62925"/>
    <w:rsid w:val="00EA70CD"/>
    <w:rsid w:val="00F41D8B"/>
    <w:rsid w:val="00F710E3"/>
    <w:rsid w:val="00F725A4"/>
    <w:rsid w:val="00F7341C"/>
    <w:rsid w:val="00F90F1B"/>
    <w:rsid w:val="00FC5F2B"/>
    <w:rsid w:val="00FE021B"/>
    <w:rsid w:val="00FE1C14"/>
    <w:rsid w:val="00FE7E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7B0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6C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C6C"/>
  </w:style>
  <w:style w:type="paragraph" w:styleId="Stopka">
    <w:name w:val="footer"/>
    <w:basedOn w:val="Normalny"/>
    <w:link w:val="StopkaZnak"/>
    <w:uiPriority w:val="99"/>
    <w:unhideWhenUsed/>
    <w:rsid w:val="00066C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C6C"/>
  </w:style>
  <w:style w:type="paragraph" w:styleId="Bezodstpw">
    <w:name w:val="No Spacing"/>
    <w:basedOn w:val="Normalny"/>
    <w:uiPriority w:val="1"/>
    <w:qFormat/>
    <w:rsid w:val="00CF3A36"/>
    <w:pPr>
      <w:spacing w:after="0" w:line="240" w:lineRule="auto"/>
    </w:pPr>
    <w:rPr>
      <w:rFonts w:ascii="Calibri" w:hAnsi="Calibri" w:cs="Times New Roman"/>
    </w:rPr>
  </w:style>
  <w:style w:type="paragraph" w:styleId="Tekstprzypisudolnego">
    <w:name w:val="footnote text"/>
    <w:basedOn w:val="Normalny"/>
    <w:link w:val="TekstprzypisudolnegoZnak"/>
    <w:uiPriority w:val="99"/>
    <w:semiHidden/>
    <w:unhideWhenUsed/>
    <w:rsid w:val="007611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11FC"/>
    <w:rPr>
      <w:sz w:val="20"/>
      <w:szCs w:val="20"/>
    </w:rPr>
  </w:style>
  <w:style w:type="character" w:styleId="Odwoanieprzypisudolnego">
    <w:name w:val="footnote reference"/>
    <w:basedOn w:val="Domylnaczcionkaakapitu"/>
    <w:uiPriority w:val="99"/>
    <w:semiHidden/>
    <w:unhideWhenUsed/>
    <w:rsid w:val="007611FC"/>
    <w:rPr>
      <w:vertAlign w:val="superscript"/>
    </w:rPr>
  </w:style>
  <w:style w:type="paragraph" w:styleId="Tekstdymka">
    <w:name w:val="Balloon Text"/>
    <w:basedOn w:val="Normalny"/>
    <w:link w:val="TekstdymkaZnak"/>
    <w:uiPriority w:val="99"/>
    <w:semiHidden/>
    <w:unhideWhenUsed/>
    <w:rsid w:val="005B0D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0DC8"/>
    <w:rPr>
      <w:rFonts w:ascii="Tahoma" w:hAnsi="Tahoma" w:cs="Tahoma"/>
      <w:sz w:val="16"/>
      <w:szCs w:val="16"/>
    </w:rPr>
  </w:style>
  <w:style w:type="character" w:styleId="Odwoaniedokomentarza">
    <w:name w:val="annotation reference"/>
    <w:basedOn w:val="Domylnaczcionkaakapitu"/>
    <w:uiPriority w:val="99"/>
    <w:semiHidden/>
    <w:unhideWhenUsed/>
    <w:rsid w:val="00161F24"/>
    <w:rPr>
      <w:sz w:val="16"/>
      <w:szCs w:val="16"/>
    </w:rPr>
  </w:style>
  <w:style w:type="paragraph" w:styleId="Tekstkomentarza">
    <w:name w:val="annotation text"/>
    <w:basedOn w:val="Normalny"/>
    <w:link w:val="TekstkomentarzaZnak"/>
    <w:uiPriority w:val="99"/>
    <w:semiHidden/>
    <w:unhideWhenUsed/>
    <w:rsid w:val="00161F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61F24"/>
    <w:rPr>
      <w:sz w:val="20"/>
      <w:szCs w:val="20"/>
    </w:rPr>
  </w:style>
  <w:style w:type="paragraph" w:styleId="Tematkomentarza">
    <w:name w:val="annotation subject"/>
    <w:basedOn w:val="Tekstkomentarza"/>
    <w:next w:val="Tekstkomentarza"/>
    <w:link w:val="TematkomentarzaZnak"/>
    <w:uiPriority w:val="99"/>
    <w:semiHidden/>
    <w:unhideWhenUsed/>
    <w:rsid w:val="00161F24"/>
    <w:rPr>
      <w:b/>
      <w:bCs/>
    </w:rPr>
  </w:style>
  <w:style w:type="character" w:customStyle="1" w:styleId="TematkomentarzaZnak">
    <w:name w:val="Temat komentarza Znak"/>
    <w:basedOn w:val="TekstkomentarzaZnak"/>
    <w:link w:val="Tematkomentarza"/>
    <w:uiPriority w:val="99"/>
    <w:semiHidden/>
    <w:rsid w:val="00161F24"/>
    <w:rPr>
      <w:b/>
      <w:bCs/>
      <w:sz w:val="20"/>
      <w:szCs w:val="20"/>
    </w:rPr>
  </w:style>
</w:styles>
</file>

<file path=word/webSettings.xml><?xml version="1.0" encoding="utf-8"?>
<w:webSettings xmlns:r="http://schemas.openxmlformats.org/officeDocument/2006/relationships" xmlns:w="http://schemas.openxmlformats.org/wordprocessingml/2006/main">
  <w:divs>
    <w:div w:id="7685319">
      <w:bodyDiv w:val="1"/>
      <w:marLeft w:val="0"/>
      <w:marRight w:val="0"/>
      <w:marTop w:val="0"/>
      <w:marBottom w:val="0"/>
      <w:divBdr>
        <w:top w:val="none" w:sz="0" w:space="0" w:color="auto"/>
        <w:left w:val="none" w:sz="0" w:space="0" w:color="auto"/>
        <w:bottom w:val="none" w:sz="0" w:space="0" w:color="auto"/>
        <w:right w:val="none" w:sz="0" w:space="0" w:color="auto"/>
      </w:divBdr>
      <w:divsChild>
        <w:div w:id="244539998">
          <w:marLeft w:val="0"/>
          <w:marRight w:val="0"/>
          <w:marTop w:val="0"/>
          <w:marBottom w:val="0"/>
          <w:divBdr>
            <w:top w:val="none" w:sz="0" w:space="0" w:color="auto"/>
            <w:left w:val="none" w:sz="0" w:space="0" w:color="auto"/>
            <w:bottom w:val="none" w:sz="0" w:space="0" w:color="auto"/>
            <w:right w:val="none" w:sz="0" w:space="0" w:color="auto"/>
          </w:divBdr>
        </w:div>
        <w:div w:id="1221792559">
          <w:marLeft w:val="0"/>
          <w:marRight w:val="0"/>
          <w:marTop w:val="0"/>
          <w:marBottom w:val="0"/>
          <w:divBdr>
            <w:top w:val="none" w:sz="0" w:space="0" w:color="auto"/>
            <w:left w:val="none" w:sz="0" w:space="0" w:color="auto"/>
            <w:bottom w:val="none" w:sz="0" w:space="0" w:color="auto"/>
            <w:right w:val="none" w:sz="0" w:space="0" w:color="auto"/>
          </w:divBdr>
        </w:div>
        <w:div w:id="166678649">
          <w:marLeft w:val="0"/>
          <w:marRight w:val="0"/>
          <w:marTop w:val="0"/>
          <w:marBottom w:val="0"/>
          <w:divBdr>
            <w:top w:val="none" w:sz="0" w:space="0" w:color="auto"/>
            <w:left w:val="none" w:sz="0" w:space="0" w:color="auto"/>
            <w:bottom w:val="none" w:sz="0" w:space="0" w:color="auto"/>
            <w:right w:val="none" w:sz="0" w:space="0" w:color="auto"/>
          </w:divBdr>
        </w:div>
        <w:div w:id="1423523359">
          <w:marLeft w:val="0"/>
          <w:marRight w:val="0"/>
          <w:marTop w:val="0"/>
          <w:marBottom w:val="0"/>
          <w:divBdr>
            <w:top w:val="none" w:sz="0" w:space="0" w:color="auto"/>
            <w:left w:val="none" w:sz="0" w:space="0" w:color="auto"/>
            <w:bottom w:val="none" w:sz="0" w:space="0" w:color="auto"/>
            <w:right w:val="none" w:sz="0" w:space="0" w:color="auto"/>
          </w:divBdr>
        </w:div>
        <w:div w:id="1169829204">
          <w:marLeft w:val="0"/>
          <w:marRight w:val="0"/>
          <w:marTop w:val="0"/>
          <w:marBottom w:val="0"/>
          <w:divBdr>
            <w:top w:val="none" w:sz="0" w:space="0" w:color="auto"/>
            <w:left w:val="none" w:sz="0" w:space="0" w:color="auto"/>
            <w:bottom w:val="none" w:sz="0" w:space="0" w:color="auto"/>
            <w:right w:val="none" w:sz="0" w:space="0" w:color="auto"/>
          </w:divBdr>
        </w:div>
        <w:div w:id="1919709466">
          <w:marLeft w:val="0"/>
          <w:marRight w:val="0"/>
          <w:marTop w:val="0"/>
          <w:marBottom w:val="0"/>
          <w:divBdr>
            <w:top w:val="none" w:sz="0" w:space="0" w:color="auto"/>
            <w:left w:val="none" w:sz="0" w:space="0" w:color="auto"/>
            <w:bottom w:val="none" w:sz="0" w:space="0" w:color="auto"/>
            <w:right w:val="none" w:sz="0" w:space="0" w:color="auto"/>
          </w:divBdr>
        </w:div>
        <w:div w:id="470103158">
          <w:marLeft w:val="0"/>
          <w:marRight w:val="0"/>
          <w:marTop w:val="0"/>
          <w:marBottom w:val="0"/>
          <w:divBdr>
            <w:top w:val="none" w:sz="0" w:space="0" w:color="auto"/>
            <w:left w:val="none" w:sz="0" w:space="0" w:color="auto"/>
            <w:bottom w:val="none" w:sz="0" w:space="0" w:color="auto"/>
            <w:right w:val="none" w:sz="0" w:space="0" w:color="auto"/>
          </w:divBdr>
        </w:div>
        <w:div w:id="809787342">
          <w:marLeft w:val="0"/>
          <w:marRight w:val="0"/>
          <w:marTop w:val="0"/>
          <w:marBottom w:val="0"/>
          <w:divBdr>
            <w:top w:val="none" w:sz="0" w:space="0" w:color="auto"/>
            <w:left w:val="none" w:sz="0" w:space="0" w:color="auto"/>
            <w:bottom w:val="none" w:sz="0" w:space="0" w:color="auto"/>
            <w:right w:val="none" w:sz="0" w:space="0" w:color="auto"/>
          </w:divBdr>
        </w:div>
        <w:div w:id="297030476">
          <w:marLeft w:val="0"/>
          <w:marRight w:val="0"/>
          <w:marTop w:val="0"/>
          <w:marBottom w:val="0"/>
          <w:divBdr>
            <w:top w:val="none" w:sz="0" w:space="0" w:color="auto"/>
            <w:left w:val="none" w:sz="0" w:space="0" w:color="auto"/>
            <w:bottom w:val="none" w:sz="0" w:space="0" w:color="auto"/>
            <w:right w:val="none" w:sz="0" w:space="0" w:color="auto"/>
          </w:divBdr>
        </w:div>
        <w:div w:id="1021469590">
          <w:marLeft w:val="0"/>
          <w:marRight w:val="0"/>
          <w:marTop w:val="0"/>
          <w:marBottom w:val="0"/>
          <w:divBdr>
            <w:top w:val="none" w:sz="0" w:space="0" w:color="auto"/>
            <w:left w:val="none" w:sz="0" w:space="0" w:color="auto"/>
            <w:bottom w:val="none" w:sz="0" w:space="0" w:color="auto"/>
            <w:right w:val="none" w:sz="0" w:space="0" w:color="auto"/>
          </w:divBdr>
        </w:div>
        <w:div w:id="581377486">
          <w:marLeft w:val="0"/>
          <w:marRight w:val="0"/>
          <w:marTop w:val="0"/>
          <w:marBottom w:val="0"/>
          <w:divBdr>
            <w:top w:val="none" w:sz="0" w:space="0" w:color="auto"/>
            <w:left w:val="none" w:sz="0" w:space="0" w:color="auto"/>
            <w:bottom w:val="none" w:sz="0" w:space="0" w:color="auto"/>
            <w:right w:val="none" w:sz="0" w:space="0" w:color="auto"/>
          </w:divBdr>
        </w:div>
        <w:div w:id="93985552">
          <w:marLeft w:val="0"/>
          <w:marRight w:val="0"/>
          <w:marTop w:val="0"/>
          <w:marBottom w:val="0"/>
          <w:divBdr>
            <w:top w:val="none" w:sz="0" w:space="0" w:color="auto"/>
            <w:left w:val="none" w:sz="0" w:space="0" w:color="auto"/>
            <w:bottom w:val="none" w:sz="0" w:space="0" w:color="auto"/>
            <w:right w:val="none" w:sz="0" w:space="0" w:color="auto"/>
          </w:divBdr>
        </w:div>
        <w:div w:id="1149009682">
          <w:marLeft w:val="0"/>
          <w:marRight w:val="0"/>
          <w:marTop w:val="0"/>
          <w:marBottom w:val="0"/>
          <w:divBdr>
            <w:top w:val="none" w:sz="0" w:space="0" w:color="auto"/>
            <w:left w:val="none" w:sz="0" w:space="0" w:color="auto"/>
            <w:bottom w:val="none" w:sz="0" w:space="0" w:color="auto"/>
            <w:right w:val="none" w:sz="0" w:space="0" w:color="auto"/>
          </w:divBdr>
        </w:div>
        <w:div w:id="287592366">
          <w:marLeft w:val="0"/>
          <w:marRight w:val="0"/>
          <w:marTop w:val="0"/>
          <w:marBottom w:val="0"/>
          <w:divBdr>
            <w:top w:val="none" w:sz="0" w:space="0" w:color="auto"/>
            <w:left w:val="none" w:sz="0" w:space="0" w:color="auto"/>
            <w:bottom w:val="none" w:sz="0" w:space="0" w:color="auto"/>
            <w:right w:val="none" w:sz="0" w:space="0" w:color="auto"/>
          </w:divBdr>
        </w:div>
        <w:div w:id="1447966347">
          <w:marLeft w:val="0"/>
          <w:marRight w:val="0"/>
          <w:marTop w:val="0"/>
          <w:marBottom w:val="0"/>
          <w:divBdr>
            <w:top w:val="none" w:sz="0" w:space="0" w:color="auto"/>
            <w:left w:val="none" w:sz="0" w:space="0" w:color="auto"/>
            <w:bottom w:val="none" w:sz="0" w:space="0" w:color="auto"/>
            <w:right w:val="none" w:sz="0" w:space="0" w:color="auto"/>
          </w:divBdr>
        </w:div>
        <w:div w:id="306512298">
          <w:marLeft w:val="0"/>
          <w:marRight w:val="0"/>
          <w:marTop w:val="0"/>
          <w:marBottom w:val="0"/>
          <w:divBdr>
            <w:top w:val="none" w:sz="0" w:space="0" w:color="auto"/>
            <w:left w:val="none" w:sz="0" w:space="0" w:color="auto"/>
            <w:bottom w:val="none" w:sz="0" w:space="0" w:color="auto"/>
            <w:right w:val="none" w:sz="0" w:space="0" w:color="auto"/>
          </w:divBdr>
        </w:div>
        <w:div w:id="1593976334">
          <w:marLeft w:val="0"/>
          <w:marRight w:val="0"/>
          <w:marTop w:val="0"/>
          <w:marBottom w:val="0"/>
          <w:divBdr>
            <w:top w:val="none" w:sz="0" w:space="0" w:color="auto"/>
            <w:left w:val="none" w:sz="0" w:space="0" w:color="auto"/>
            <w:bottom w:val="none" w:sz="0" w:space="0" w:color="auto"/>
            <w:right w:val="none" w:sz="0" w:space="0" w:color="auto"/>
          </w:divBdr>
        </w:div>
        <w:div w:id="2045791281">
          <w:marLeft w:val="0"/>
          <w:marRight w:val="0"/>
          <w:marTop w:val="0"/>
          <w:marBottom w:val="0"/>
          <w:divBdr>
            <w:top w:val="none" w:sz="0" w:space="0" w:color="auto"/>
            <w:left w:val="none" w:sz="0" w:space="0" w:color="auto"/>
            <w:bottom w:val="none" w:sz="0" w:space="0" w:color="auto"/>
            <w:right w:val="none" w:sz="0" w:space="0" w:color="auto"/>
          </w:divBdr>
        </w:div>
      </w:divsChild>
    </w:div>
    <w:div w:id="52655277">
      <w:bodyDiv w:val="1"/>
      <w:marLeft w:val="0"/>
      <w:marRight w:val="0"/>
      <w:marTop w:val="0"/>
      <w:marBottom w:val="0"/>
      <w:divBdr>
        <w:top w:val="none" w:sz="0" w:space="0" w:color="auto"/>
        <w:left w:val="none" w:sz="0" w:space="0" w:color="auto"/>
        <w:bottom w:val="none" w:sz="0" w:space="0" w:color="auto"/>
        <w:right w:val="none" w:sz="0" w:space="0" w:color="auto"/>
      </w:divBdr>
      <w:divsChild>
        <w:div w:id="987124598">
          <w:marLeft w:val="0"/>
          <w:marRight w:val="0"/>
          <w:marTop w:val="0"/>
          <w:marBottom w:val="0"/>
          <w:divBdr>
            <w:top w:val="none" w:sz="0" w:space="0" w:color="auto"/>
            <w:left w:val="none" w:sz="0" w:space="0" w:color="auto"/>
            <w:bottom w:val="none" w:sz="0" w:space="0" w:color="auto"/>
            <w:right w:val="none" w:sz="0" w:space="0" w:color="auto"/>
          </w:divBdr>
        </w:div>
        <w:div w:id="2061320695">
          <w:marLeft w:val="0"/>
          <w:marRight w:val="0"/>
          <w:marTop w:val="0"/>
          <w:marBottom w:val="0"/>
          <w:divBdr>
            <w:top w:val="none" w:sz="0" w:space="0" w:color="auto"/>
            <w:left w:val="none" w:sz="0" w:space="0" w:color="auto"/>
            <w:bottom w:val="none" w:sz="0" w:space="0" w:color="auto"/>
            <w:right w:val="none" w:sz="0" w:space="0" w:color="auto"/>
          </w:divBdr>
        </w:div>
        <w:div w:id="935985594">
          <w:marLeft w:val="0"/>
          <w:marRight w:val="0"/>
          <w:marTop w:val="0"/>
          <w:marBottom w:val="0"/>
          <w:divBdr>
            <w:top w:val="none" w:sz="0" w:space="0" w:color="auto"/>
            <w:left w:val="none" w:sz="0" w:space="0" w:color="auto"/>
            <w:bottom w:val="none" w:sz="0" w:space="0" w:color="auto"/>
            <w:right w:val="none" w:sz="0" w:space="0" w:color="auto"/>
          </w:divBdr>
        </w:div>
        <w:div w:id="1217275591">
          <w:marLeft w:val="0"/>
          <w:marRight w:val="0"/>
          <w:marTop w:val="0"/>
          <w:marBottom w:val="0"/>
          <w:divBdr>
            <w:top w:val="none" w:sz="0" w:space="0" w:color="auto"/>
            <w:left w:val="none" w:sz="0" w:space="0" w:color="auto"/>
            <w:bottom w:val="none" w:sz="0" w:space="0" w:color="auto"/>
            <w:right w:val="none" w:sz="0" w:space="0" w:color="auto"/>
          </w:divBdr>
        </w:div>
        <w:div w:id="1002508931">
          <w:marLeft w:val="0"/>
          <w:marRight w:val="0"/>
          <w:marTop w:val="0"/>
          <w:marBottom w:val="0"/>
          <w:divBdr>
            <w:top w:val="none" w:sz="0" w:space="0" w:color="auto"/>
            <w:left w:val="none" w:sz="0" w:space="0" w:color="auto"/>
            <w:bottom w:val="none" w:sz="0" w:space="0" w:color="auto"/>
            <w:right w:val="none" w:sz="0" w:space="0" w:color="auto"/>
          </w:divBdr>
        </w:div>
        <w:div w:id="1174149524">
          <w:marLeft w:val="0"/>
          <w:marRight w:val="0"/>
          <w:marTop w:val="0"/>
          <w:marBottom w:val="0"/>
          <w:divBdr>
            <w:top w:val="none" w:sz="0" w:space="0" w:color="auto"/>
            <w:left w:val="none" w:sz="0" w:space="0" w:color="auto"/>
            <w:bottom w:val="none" w:sz="0" w:space="0" w:color="auto"/>
            <w:right w:val="none" w:sz="0" w:space="0" w:color="auto"/>
          </w:divBdr>
        </w:div>
        <w:div w:id="1133986730">
          <w:marLeft w:val="0"/>
          <w:marRight w:val="0"/>
          <w:marTop w:val="0"/>
          <w:marBottom w:val="0"/>
          <w:divBdr>
            <w:top w:val="none" w:sz="0" w:space="0" w:color="auto"/>
            <w:left w:val="none" w:sz="0" w:space="0" w:color="auto"/>
            <w:bottom w:val="none" w:sz="0" w:space="0" w:color="auto"/>
            <w:right w:val="none" w:sz="0" w:space="0" w:color="auto"/>
          </w:divBdr>
        </w:div>
        <w:div w:id="1890259539">
          <w:marLeft w:val="0"/>
          <w:marRight w:val="0"/>
          <w:marTop w:val="0"/>
          <w:marBottom w:val="0"/>
          <w:divBdr>
            <w:top w:val="none" w:sz="0" w:space="0" w:color="auto"/>
            <w:left w:val="none" w:sz="0" w:space="0" w:color="auto"/>
            <w:bottom w:val="none" w:sz="0" w:space="0" w:color="auto"/>
            <w:right w:val="none" w:sz="0" w:space="0" w:color="auto"/>
          </w:divBdr>
        </w:div>
        <w:div w:id="251624073">
          <w:marLeft w:val="0"/>
          <w:marRight w:val="0"/>
          <w:marTop w:val="0"/>
          <w:marBottom w:val="0"/>
          <w:divBdr>
            <w:top w:val="none" w:sz="0" w:space="0" w:color="auto"/>
            <w:left w:val="none" w:sz="0" w:space="0" w:color="auto"/>
            <w:bottom w:val="none" w:sz="0" w:space="0" w:color="auto"/>
            <w:right w:val="none" w:sz="0" w:space="0" w:color="auto"/>
          </w:divBdr>
        </w:div>
        <w:div w:id="2038003971">
          <w:marLeft w:val="0"/>
          <w:marRight w:val="0"/>
          <w:marTop w:val="0"/>
          <w:marBottom w:val="0"/>
          <w:divBdr>
            <w:top w:val="none" w:sz="0" w:space="0" w:color="auto"/>
            <w:left w:val="none" w:sz="0" w:space="0" w:color="auto"/>
            <w:bottom w:val="none" w:sz="0" w:space="0" w:color="auto"/>
            <w:right w:val="none" w:sz="0" w:space="0" w:color="auto"/>
          </w:divBdr>
        </w:div>
        <w:div w:id="218830553">
          <w:marLeft w:val="0"/>
          <w:marRight w:val="0"/>
          <w:marTop w:val="0"/>
          <w:marBottom w:val="0"/>
          <w:divBdr>
            <w:top w:val="none" w:sz="0" w:space="0" w:color="auto"/>
            <w:left w:val="none" w:sz="0" w:space="0" w:color="auto"/>
            <w:bottom w:val="none" w:sz="0" w:space="0" w:color="auto"/>
            <w:right w:val="none" w:sz="0" w:space="0" w:color="auto"/>
          </w:divBdr>
        </w:div>
        <w:div w:id="127598856">
          <w:marLeft w:val="0"/>
          <w:marRight w:val="0"/>
          <w:marTop w:val="0"/>
          <w:marBottom w:val="0"/>
          <w:divBdr>
            <w:top w:val="none" w:sz="0" w:space="0" w:color="auto"/>
            <w:left w:val="none" w:sz="0" w:space="0" w:color="auto"/>
            <w:bottom w:val="none" w:sz="0" w:space="0" w:color="auto"/>
            <w:right w:val="none" w:sz="0" w:space="0" w:color="auto"/>
          </w:divBdr>
        </w:div>
        <w:div w:id="153882951">
          <w:marLeft w:val="0"/>
          <w:marRight w:val="0"/>
          <w:marTop w:val="0"/>
          <w:marBottom w:val="0"/>
          <w:divBdr>
            <w:top w:val="none" w:sz="0" w:space="0" w:color="auto"/>
            <w:left w:val="none" w:sz="0" w:space="0" w:color="auto"/>
            <w:bottom w:val="none" w:sz="0" w:space="0" w:color="auto"/>
            <w:right w:val="none" w:sz="0" w:space="0" w:color="auto"/>
          </w:divBdr>
        </w:div>
        <w:div w:id="1800033796">
          <w:marLeft w:val="0"/>
          <w:marRight w:val="0"/>
          <w:marTop w:val="0"/>
          <w:marBottom w:val="0"/>
          <w:divBdr>
            <w:top w:val="none" w:sz="0" w:space="0" w:color="auto"/>
            <w:left w:val="none" w:sz="0" w:space="0" w:color="auto"/>
            <w:bottom w:val="none" w:sz="0" w:space="0" w:color="auto"/>
            <w:right w:val="none" w:sz="0" w:space="0" w:color="auto"/>
          </w:divBdr>
        </w:div>
        <w:div w:id="1942644319">
          <w:marLeft w:val="0"/>
          <w:marRight w:val="0"/>
          <w:marTop w:val="0"/>
          <w:marBottom w:val="0"/>
          <w:divBdr>
            <w:top w:val="none" w:sz="0" w:space="0" w:color="auto"/>
            <w:left w:val="none" w:sz="0" w:space="0" w:color="auto"/>
            <w:bottom w:val="none" w:sz="0" w:space="0" w:color="auto"/>
            <w:right w:val="none" w:sz="0" w:space="0" w:color="auto"/>
          </w:divBdr>
        </w:div>
        <w:div w:id="1658070328">
          <w:marLeft w:val="0"/>
          <w:marRight w:val="0"/>
          <w:marTop w:val="0"/>
          <w:marBottom w:val="0"/>
          <w:divBdr>
            <w:top w:val="none" w:sz="0" w:space="0" w:color="auto"/>
            <w:left w:val="none" w:sz="0" w:space="0" w:color="auto"/>
            <w:bottom w:val="none" w:sz="0" w:space="0" w:color="auto"/>
            <w:right w:val="none" w:sz="0" w:space="0" w:color="auto"/>
          </w:divBdr>
        </w:div>
        <w:div w:id="1479028393">
          <w:marLeft w:val="0"/>
          <w:marRight w:val="0"/>
          <w:marTop w:val="0"/>
          <w:marBottom w:val="0"/>
          <w:divBdr>
            <w:top w:val="none" w:sz="0" w:space="0" w:color="auto"/>
            <w:left w:val="none" w:sz="0" w:space="0" w:color="auto"/>
            <w:bottom w:val="none" w:sz="0" w:space="0" w:color="auto"/>
            <w:right w:val="none" w:sz="0" w:space="0" w:color="auto"/>
          </w:divBdr>
        </w:div>
        <w:div w:id="840237149">
          <w:marLeft w:val="0"/>
          <w:marRight w:val="0"/>
          <w:marTop w:val="0"/>
          <w:marBottom w:val="0"/>
          <w:divBdr>
            <w:top w:val="none" w:sz="0" w:space="0" w:color="auto"/>
            <w:left w:val="none" w:sz="0" w:space="0" w:color="auto"/>
            <w:bottom w:val="none" w:sz="0" w:space="0" w:color="auto"/>
            <w:right w:val="none" w:sz="0" w:space="0" w:color="auto"/>
          </w:divBdr>
        </w:div>
        <w:div w:id="1806466928">
          <w:marLeft w:val="0"/>
          <w:marRight w:val="0"/>
          <w:marTop w:val="0"/>
          <w:marBottom w:val="0"/>
          <w:divBdr>
            <w:top w:val="none" w:sz="0" w:space="0" w:color="auto"/>
            <w:left w:val="none" w:sz="0" w:space="0" w:color="auto"/>
            <w:bottom w:val="none" w:sz="0" w:space="0" w:color="auto"/>
            <w:right w:val="none" w:sz="0" w:space="0" w:color="auto"/>
          </w:divBdr>
        </w:div>
        <w:div w:id="449933256">
          <w:marLeft w:val="0"/>
          <w:marRight w:val="0"/>
          <w:marTop w:val="0"/>
          <w:marBottom w:val="0"/>
          <w:divBdr>
            <w:top w:val="none" w:sz="0" w:space="0" w:color="auto"/>
            <w:left w:val="none" w:sz="0" w:space="0" w:color="auto"/>
            <w:bottom w:val="none" w:sz="0" w:space="0" w:color="auto"/>
            <w:right w:val="none" w:sz="0" w:space="0" w:color="auto"/>
          </w:divBdr>
        </w:div>
      </w:divsChild>
    </w:div>
    <w:div w:id="103229601">
      <w:bodyDiv w:val="1"/>
      <w:marLeft w:val="0"/>
      <w:marRight w:val="0"/>
      <w:marTop w:val="0"/>
      <w:marBottom w:val="0"/>
      <w:divBdr>
        <w:top w:val="none" w:sz="0" w:space="0" w:color="auto"/>
        <w:left w:val="none" w:sz="0" w:space="0" w:color="auto"/>
        <w:bottom w:val="none" w:sz="0" w:space="0" w:color="auto"/>
        <w:right w:val="none" w:sz="0" w:space="0" w:color="auto"/>
      </w:divBdr>
      <w:divsChild>
        <w:div w:id="283587544">
          <w:marLeft w:val="0"/>
          <w:marRight w:val="0"/>
          <w:marTop w:val="0"/>
          <w:marBottom w:val="0"/>
          <w:divBdr>
            <w:top w:val="none" w:sz="0" w:space="0" w:color="auto"/>
            <w:left w:val="none" w:sz="0" w:space="0" w:color="auto"/>
            <w:bottom w:val="none" w:sz="0" w:space="0" w:color="auto"/>
            <w:right w:val="none" w:sz="0" w:space="0" w:color="auto"/>
          </w:divBdr>
        </w:div>
        <w:div w:id="81071705">
          <w:marLeft w:val="0"/>
          <w:marRight w:val="0"/>
          <w:marTop w:val="0"/>
          <w:marBottom w:val="0"/>
          <w:divBdr>
            <w:top w:val="none" w:sz="0" w:space="0" w:color="auto"/>
            <w:left w:val="none" w:sz="0" w:space="0" w:color="auto"/>
            <w:bottom w:val="none" w:sz="0" w:space="0" w:color="auto"/>
            <w:right w:val="none" w:sz="0" w:space="0" w:color="auto"/>
          </w:divBdr>
        </w:div>
      </w:divsChild>
    </w:div>
    <w:div w:id="327370020">
      <w:bodyDiv w:val="1"/>
      <w:marLeft w:val="0"/>
      <w:marRight w:val="0"/>
      <w:marTop w:val="0"/>
      <w:marBottom w:val="0"/>
      <w:divBdr>
        <w:top w:val="none" w:sz="0" w:space="0" w:color="auto"/>
        <w:left w:val="none" w:sz="0" w:space="0" w:color="auto"/>
        <w:bottom w:val="none" w:sz="0" w:space="0" w:color="auto"/>
        <w:right w:val="none" w:sz="0" w:space="0" w:color="auto"/>
      </w:divBdr>
    </w:div>
    <w:div w:id="328291559">
      <w:bodyDiv w:val="1"/>
      <w:marLeft w:val="0"/>
      <w:marRight w:val="0"/>
      <w:marTop w:val="0"/>
      <w:marBottom w:val="0"/>
      <w:divBdr>
        <w:top w:val="none" w:sz="0" w:space="0" w:color="auto"/>
        <w:left w:val="none" w:sz="0" w:space="0" w:color="auto"/>
        <w:bottom w:val="none" w:sz="0" w:space="0" w:color="auto"/>
        <w:right w:val="none" w:sz="0" w:space="0" w:color="auto"/>
      </w:divBdr>
      <w:divsChild>
        <w:div w:id="1290743407">
          <w:marLeft w:val="0"/>
          <w:marRight w:val="0"/>
          <w:marTop w:val="0"/>
          <w:marBottom w:val="0"/>
          <w:divBdr>
            <w:top w:val="none" w:sz="0" w:space="0" w:color="auto"/>
            <w:left w:val="none" w:sz="0" w:space="0" w:color="auto"/>
            <w:bottom w:val="none" w:sz="0" w:space="0" w:color="auto"/>
            <w:right w:val="none" w:sz="0" w:space="0" w:color="auto"/>
          </w:divBdr>
        </w:div>
        <w:div w:id="1765834335">
          <w:marLeft w:val="0"/>
          <w:marRight w:val="0"/>
          <w:marTop w:val="0"/>
          <w:marBottom w:val="0"/>
          <w:divBdr>
            <w:top w:val="none" w:sz="0" w:space="0" w:color="auto"/>
            <w:left w:val="none" w:sz="0" w:space="0" w:color="auto"/>
            <w:bottom w:val="none" w:sz="0" w:space="0" w:color="auto"/>
            <w:right w:val="none" w:sz="0" w:space="0" w:color="auto"/>
          </w:divBdr>
        </w:div>
        <w:div w:id="824056291">
          <w:marLeft w:val="0"/>
          <w:marRight w:val="0"/>
          <w:marTop w:val="0"/>
          <w:marBottom w:val="0"/>
          <w:divBdr>
            <w:top w:val="none" w:sz="0" w:space="0" w:color="auto"/>
            <w:left w:val="none" w:sz="0" w:space="0" w:color="auto"/>
            <w:bottom w:val="none" w:sz="0" w:space="0" w:color="auto"/>
            <w:right w:val="none" w:sz="0" w:space="0" w:color="auto"/>
          </w:divBdr>
        </w:div>
        <w:div w:id="632756022">
          <w:marLeft w:val="0"/>
          <w:marRight w:val="0"/>
          <w:marTop w:val="0"/>
          <w:marBottom w:val="0"/>
          <w:divBdr>
            <w:top w:val="none" w:sz="0" w:space="0" w:color="auto"/>
            <w:left w:val="none" w:sz="0" w:space="0" w:color="auto"/>
            <w:bottom w:val="none" w:sz="0" w:space="0" w:color="auto"/>
            <w:right w:val="none" w:sz="0" w:space="0" w:color="auto"/>
          </w:divBdr>
        </w:div>
      </w:divsChild>
    </w:div>
    <w:div w:id="406344601">
      <w:bodyDiv w:val="1"/>
      <w:marLeft w:val="0"/>
      <w:marRight w:val="0"/>
      <w:marTop w:val="0"/>
      <w:marBottom w:val="0"/>
      <w:divBdr>
        <w:top w:val="none" w:sz="0" w:space="0" w:color="auto"/>
        <w:left w:val="none" w:sz="0" w:space="0" w:color="auto"/>
        <w:bottom w:val="none" w:sz="0" w:space="0" w:color="auto"/>
        <w:right w:val="none" w:sz="0" w:space="0" w:color="auto"/>
      </w:divBdr>
      <w:divsChild>
        <w:div w:id="2072997933">
          <w:marLeft w:val="0"/>
          <w:marRight w:val="0"/>
          <w:marTop w:val="0"/>
          <w:marBottom w:val="0"/>
          <w:divBdr>
            <w:top w:val="none" w:sz="0" w:space="0" w:color="auto"/>
            <w:left w:val="none" w:sz="0" w:space="0" w:color="auto"/>
            <w:bottom w:val="none" w:sz="0" w:space="0" w:color="auto"/>
            <w:right w:val="none" w:sz="0" w:space="0" w:color="auto"/>
          </w:divBdr>
        </w:div>
        <w:div w:id="149180002">
          <w:marLeft w:val="0"/>
          <w:marRight w:val="0"/>
          <w:marTop w:val="0"/>
          <w:marBottom w:val="0"/>
          <w:divBdr>
            <w:top w:val="none" w:sz="0" w:space="0" w:color="auto"/>
            <w:left w:val="none" w:sz="0" w:space="0" w:color="auto"/>
            <w:bottom w:val="none" w:sz="0" w:space="0" w:color="auto"/>
            <w:right w:val="none" w:sz="0" w:space="0" w:color="auto"/>
          </w:divBdr>
        </w:div>
      </w:divsChild>
    </w:div>
    <w:div w:id="417867545">
      <w:bodyDiv w:val="1"/>
      <w:marLeft w:val="0"/>
      <w:marRight w:val="0"/>
      <w:marTop w:val="0"/>
      <w:marBottom w:val="0"/>
      <w:divBdr>
        <w:top w:val="none" w:sz="0" w:space="0" w:color="auto"/>
        <w:left w:val="none" w:sz="0" w:space="0" w:color="auto"/>
        <w:bottom w:val="none" w:sz="0" w:space="0" w:color="auto"/>
        <w:right w:val="none" w:sz="0" w:space="0" w:color="auto"/>
      </w:divBdr>
      <w:divsChild>
        <w:div w:id="240258103">
          <w:marLeft w:val="0"/>
          <w:marRight w:val="0"/>
          <w:marTop w:val="0"/>
          <w:marBottom w:val="0"/>
          <w:divBdr>
            <w:top w:val="none" w:sz="0" w:space="0" w:color="auto"/>
            <w:left w:val="none" w:sz="0" w:space="0" w:color="auto"/>
            <w:bottom w:val="none" w:sz="0" w:space="0" w:color="auto"/>
            <w:right w:val="none" w:sz="0" w:space="0" w:color="auto"/>
          </w:divBdr>
        </w:div>
        <w:div w:id="536703355">
          <w:marLeft w:val="0"/>
          <w:marRight w:val="0"/>
          <w:marTop w:val="0"/>
          <w:marBottom w:val="0"/>
          <w:divBdr>
            <w:top w:val="none" w:sz="0" w:space="0" w:color="auto"/>
            <w:left w:val="none" w:sz="0" w:space="0" w:color="auto"/>
            <w:bottom w:val="none" w:sz="0" w:space="0" w:color="auto"/>
            <w:right w:val="none" w:sz="0" w:space="0" w:color="auto"/>
          </w:divBdr>
        </w:div>
      </w:divsChild>
    </w:div>
    <w:div w:id="436294231">
      <w:bodyDiv w:val="1"/>
      <w:marLeft w:val="0"/>
      <w:marRight w:val="0"/>
      <w:marTop w:val="0"/>
      <w:marBottom w:val="0"/>
      <w:divBdr>
        <w:top w:val="none" w:sz="0" w:space="0" w:color="auto"/>
        <w:left w:val="none" w:sz="0" w:space="0" w:color="auto"/>
        <w:bottom w:val="none" w:sz="0" w:space="0" w:color="auto"/>
        <w:right w:val="none" w:sz="0" w:space="0" w:color="auto"/>
      </w:divBdr>
    </w:div>
    <w:div w:id="631447142">
      <w:bodyDiv w:val="1"/>
      <w:marLeft w:val="0"/>
      <w:marRight w:val="0"/>
      <w:marTop w:val="0"/>
      <w:marBottom w:val="0"/>
      <w:divBdr>
        <w:top w:val="none" w:sz="0" w:space="0" w:color="auto"/>
        <w:left w:val="none" w:sz="0" w:space="0" w:color="auto"/>
        <w:bottom w:val="none" w:sz="0" w:space="0" w:color="auto"/>
        <w:right w:val="none" w:sz="0" w:space="0" w:color="auto"/>
      </w:divBdr>
      <w:divsChild>
        <w:div w:id="317081146">
          <w:marLeft w:val="0"/>
          <w:marRight w:val="0"/>
          <w:marTop w:val="0"/>
          <w:marBottom w:val="0"/>
          <w:divBdr>
            <w:top w:val="none" w:sz="0" w:space="0" w:color="auto"/>
            <w:left w:val="none" w:sz="0" w:space="0" w:color="auto"/>
            <w:bottom w:val="none" w:sz="0" w:space="0" w:color="auto"/>
            <w:right w:val="none" w:sz="0" w:space="0" w:color="auto"/>
          </w:divBdr>
        </w:div>
        <w:div w:id="1246496812">
          <w:marLeft w:val="0"/>
          <w:marRight w:val="0"/>
          <w:marTop w:val="0"/>
          <w:marBottom w:val="0"/>
          <w:divBdr>
            <w:top w:val="none" w:sz="0" w:space="0" w:color="auto"/>
            <w:left w:val="none" w:sz="0" w:space="0" w:color="auto"/>
            <w:bottom w:val="none" w:sz="0" w:space="0" w:color="auto"/>
            <w:right w:val="none" w:sz="0" w:space="0" w:color="auto"/>
          </w:divBdr>
        </w:div>
        <w:div w:id="2111007239">
          <w:marLeft w:val="0"/>
          <w:marRight w:val="0"/>
          <w:marTop w:val="0"/>
          <w:marBottom w:val="0"/>
          <w:divBdr>
            <w:top w:val="none" w:sz="0" w:space="0" w:color="auto"/>
            <w:left w:val="none" w:sz="0" w:space="0" w:color="auto"/>
            <w:bottom w:val="none" w:sz="0" w:space="0" w:color="auto"/>
            <w:right w:val="none" w:sz="0" w:space="0" w:color="auto"/>
          </w:divBdr>
        </w:div>
      </w:divsChild>
    </w:div>
    <w:div w:id="658508057">
      <w:bodyDiv w:val="1"/>
      <w:marLeft w:val="0"/>
      <w:marRight w:val="0"/>
      <w:marTop w:val="0"/>
      <w:marBottom w:val="0"/>
      <w:divBdr>
        <w:top w:val="none" w:sz="0" w:space="0" w:color="auto"/>
        <w:left w:val="none" w:sz="0" w:space="0" w:color="auto"/>
        <w:bottom w:val="none" w:sz="0" w:space="0" w:color="auto"/>
        <w:right w:val="none" w:sz="0" w:space="0" w:color="auto"/>
      </w:divBdr>
    </w:div>
    <w:div w:id="716977164">
      <w:bodyDiv w:val="1"/>
      <w:marLeft w:val="0"/>
      <w:marRight w:val="0"/>
      <w:marTop w:val="0"/>
      <w:marBottom w:val="0"/>
      <w:divBdr>
        <w:top w:val="none" w:sz="0" w:space="0" w:color="auto"/>
        <w:left w:val="none" w:sz="0" w:space="0" w:color="auto"/>
        <w:bottom w:val="none" w:sz="0" w:space="0" w:color="auto"/>
        <w:right w:val="none" w:sz="0" w:space="0" w:color="auto"/>
      </w:divBdr>
      <w:divsChild>
        <w:div w:id="1133055923">
          <w:marLeft w:val="0"/>
          <w:marRight w:val="0"/>
          <w:marTop w:val="0"/>
          <w:marBottom w:val="0"/>
          <w:divBdr>
            <w:top w:val="none" w:sz="0" w:space="0" w:color="auto"/>
            <w:left w:val="none" w:sz="0" w:space="0" w:color="auto"/>
            <w:bottom w:val="none" w:sz="0" w:space="0" w:color="auto"/>
            <w:right w:val="none" w:sz="0" w:space="0" w:color="auto"/>
          </w:divBdr>
        </w:div>
        <w:div w:id="1507134443">
          <w:marLeft w:val="0"/>
          <w:marRight w:val="0"/>
          <w:marTop w:val="0"/>
          <w:marBottom w:val="0"/>
          <w:divBdr>
            <w:top w:val="none" w:sz="0" w:space="0" w:color="auto"/>
            <w:left w:val="none" w:sz="0" w:space="0" w:color="auto"/>
            <w:bottom w:val="none" w:sz="0" w:space="0" w:color="auto"/>
            <w:right w:val="none" w:sz="0" w:space="0" w:color="auto"/>
          </w:divBdr>
        </w:div>
        <w:div w:id="1303315050">
          <w:marLeft w:val="0"/>
          <w:marRight w:val="0"/>
          <w:marTop w:val="0"/>
          <w:marBottom w:val="0"/>
          <w:divBdr>
            <w:top w:val="none" w:sz="0" w:space="0" w:color="auto"/>
            <w:left w:val="none" w:sz="0" w:space="0" w:color="auto"/>
            <w:bottom w:val="none" w:sz="0" w:space="0" w:color="auto"/>
            <w:right w:val="none" w:sz="0" w:space="0" w:color="auto"/>
          </w:divBdr>
        </w:div>
        <w:div w:id="620260175">
          <w:marLeft w:val="0"/>
          <w:marRight w:val="0"/>
          <w:marTop w:val="0"/>
          <w:marBottom w:val="0"/>
          <w:divBdr>
            <w:top w:val="none" w:sz="0" w:space="0" w:color="auto"/>
            <w:left w:val="none" w:sz="0" w:space="0" w:color="auto"/>
            <w:bottom w:val="none" w:sz="0" w:space="0" w:color="auto"/>
            <w:right w:val="none" w:sz="0" w:space="0" w:color="auto"/>
          </w:divBdr>
        </w:div>
        <w:div w:id="1391617629">
          <w:marLeft w:val="0"/>
          <w:marRight w:val="0"/>
          <w:marTop w:val="0"/>
          <w:marBottom w:val="0"/>
          <w:divBdr>
            <w:top w:val="none" w:sz="0" w:space="0" w:color="auto"/>
            <w:left w:val="none" w:sz="0" w:space="0" w:color="auto"/>
            <w:bottom w:val="none" w:sz="0" w:space="0" w:color="auto"/>
            <w:right w:val="none" w:sz="0" w:space="0" w:color="auto"/>
          </w:divBdr>
        </w:div>
      </w:divsChild>
    </w:div>
    <w:div w:id="908735453">
      <w:bodyDiv w:val="1"/>
      <w:marLeft w:val="0"/>
      <w:marRight w:val="0"/>
      <w:marTop w:val="0"/>
      <w:marBottom w:val="0"/>
      <w:divBdr>
        <w:top w:val="none" w:sz="0" w:space="0" w:color="auto"/>
        <w:left w:val="none" w:sz="0" w:space="0" w:color="auto"/>
        <w:bottom w:val="none" w:sz="0" w:space="0" w:color="auto"/>
        <w:right w:val="none" w:sz="0" w:space="0" w:color="auto"/>
      </w:divBdr>
      <w:divsChild>
        <w:div w:id="63377602">
          <w:marLeft w:val="0"/>
          <w:marRight w:val="0"/>
          <w:marTop w:val="0"/>
          <w:marBottom w:val="0"/>
          <w:divBdr>
            <w:top w:val="none" w:sz="0" w:space="0" w:color="auto"/>
            <w:left w:val="none" w:sz="0" w:space="0" w:color="auto"/>
            <w:bottom w:val="none" w:sz="0" w:space="0" w:color="auto"/>
            <w:right w:val="none" w:sz="0" w:space="0" w:color="auto"/>
          </w:divBdr>
        </w:div>
        <w:div w:id="1760979367">
          <w:marLeft w:val="0"/>
          <w:marRight w:val="0"/>
          <w:marTop w:val="0"/>
          <w:marBottom w:val="0"/>
          <w:divBdr>
            <w:top w:val="none" w:sz="0" w:space="0" w:color="auto"/>
            <w:left w:val="none" w:sz="0" w:space="0" w:color="auto"/>
            <w:bottom w:val="none" w:sz="0" w:space="0" w:color="auto"/>
            <w:right w:val="none" w:sz="0" w:space="0" w:color="auto"/>
          </w:divBdr>
        </w:div>
        <w:div w:id="1506869544">
          <w:marLeft w:val="0"/>
          <w:marRight w:val="0"/>
          <w:marTop w:val="0"/>
          <w:marBottom w:val="0"/>
          <w:divBdr>
            <w:top w:val="none" w:sz="0" w:space="0" w:color="auto"/>
            <w:left w:val="none" w:sz="0" w:space="0" w:color="auto"/>
            <w:bottom w:val="none" w:sz="0" w:space="0" w:color="auto"/>
            <w:right w:val="none" w:sz="0" w:space="0" w:color="auto"/>
          </w:divBdr>
        </w:div>
        <w:div w:id="1670405827">
          <w:marLeft w:val="0"/>
          <w:marRight w:val="0"/>
          <w:marTop w:val="0"/>
          <w:marBottom w:val="0"/>
          <w:divBdr>
            <w:top w:val="none" w:sz="0" w:space="0" w:color="auto"/>
            <w:left w:val="none" w:sz="0" w:space="0" w:color="auto"/>
            <w:bottom w:val="none" w:sz="0" w:space="0" w:color="auto"/>
            <w:right w:val="none" w:sz="0" w:space="0" w:color="auto"/>
          </w:divBdr>
        </w:div>
        <w:div w:id="1930188416">
          <w:marLeft w:val="0"/>
          <w:marRight w:val="0"/>
          <w:marTop w:val="0"/>
          <w:marBottom w:val="0"/>
          <w:divBdr>
            <w:top w:val="none" w:sz="0" w:space="0" w:color="auto"/>
            <w:left w:val="none" w:sz="0" w:space="0" w:color="auto"/>
            <w:bottom w:val="none" w:sz="0" w:space="0" w:color="auto"/>
            <w:right w:val="none" w:sz="0" w:space="0" w:color="auto"/>
          </w:divBdr>
        </w:div>
        <w:div w:id="289478008">
          <w:marLeft w:val="0"/>
          <w:marRight w:val="0"/>
          <w:marTop w:val="0"/>
          <w:marBottom w:val="0"/>
          <w:divBdr>
            <w:top w:val="none" w:sz="0" w:space="0" w:color="auto"/>
            <w:left w:val="none" w:sz="0" w:space="0" w:color="auto"/>
            <w:bottom w:val="none" w:sz="0" w:space="0" w:color="auto"/>
            <w:right w:val="none" w:sz="0" w:space="0" w:color="auto"/>
          </w:divBdr>
        </w:div>
        <w:div w:id="630746389">
          <w:marLeft w:val="0"/>
          <w:marRight w:val="0"/>
          <w:marTop w:val="0"/>
          <w:marBottom w:val="0"/>
          <w:divBdr>
            <w:top w:val="none" w:sz="0" w:space="0" w:color="auto"/>
            <w:left w:val="none" w:sz="0" w:space="0" w:color="auto"/>
            <w:bottom w:val="none" w:sz="0" w:space="0" w:color="auto"/>
            <w:right w:val="none" w:sz="0" w:space="0" w:color="auto"/>
          </w:divBdr>
        </w:div>
        <w:div w:id="1521166657">
          <w:marLeft w:val="0"/>
          <w:marRight w:val="0"/>
          <w:marTop w:val="0"/>
          <w:marBottom w:val="0"/>
          <w:divBdr>
            <w:top w:val="none" w:sz="0" w:space="0" w:color="auto"/>
            <w:left w:val="none" w:sz="0" w:space="0" w:color="auto"/>
            <w:bottom w:val="none" w:sz="0" w:space="0" w:color="auto"/>
            <w:right w:val="none" w:sz="0" w:space="0" w:color="auto"/>
          </w:divBdr>
        </w:div>
        <w:div w:id="862859956">
          <w:marLeft w:val="0"/>
          <w:marRight w:val="0"/>
          <w:marTop w:val="0"/>
          <w:marBottom w:val="0"/>
          <w:divBdr>
            <w:top w:val="none" w:sz="0" w:space="0" w:color="auto"/>
            <w:left w:val="none" w:sz="0" w:space="0" w:color="auto"/>
            <w:bottom w:val="none" w:sz="0" w:space="0" w:color="auto"/>
            <w:right w:val="none" w:sz="0" w:space="0" w:color="auto"/>
          </w:divBdr>
        </w:div>
        <w:div w:id="670911929">
          <w:marLeft w:val="0"/>
          <w:marRight w:val="0"/>
          <w:marTop w:val="0"/>
          <w:marBottom w:val="0"/>
          <w:divBdr>
            <w:top w:val="none" w:sz="0" w:space="0" w:color="auto"/>
            <w:left w:val="none" w:sz="0" w:space="0" w:color="auto"/>
            <w:bottom w:val="none" w:sz="0" w:space="0" w:color="auto"/>
            <w:right w:val="none" w:sz="0" w:space="0" w:color="auto"/>
          </w:divBdr>
        </w:div>
        <w:div w:id="1083725073">
          <w:marLeft w:val="0"/>
          <w:marRight w:val="0"/>
          <w:marTop w:val="0"/>
          <w:marBottom w:val="0"/>
          <w:divBdr>
            <w:top w:val="none" w:sz="0" w:space="0" w:color="auto"/>
            <w:left w:val="none" w:sz="0" w:space="0" w:color="auto"/>
            <w:bottom w:val="none" w:sz="0" w:space="0" w:color="auto"/>
            <w:right w:val="none" w:sz="0" w:space="0" w:color="auto"/>
          </w:divBdr>
        </w:div>
        <w:div w:id="221216175">
          <w:marLeft w:val="0"/>
          <w:marRight w:val="0"/>
          <w:marTop w:val="0"/>
          <w:marBottom w:val="0"/>
          <w:divBdr>
            <w:top w:val="none" w:sz="0" w:space="0" w:color="auto"/>
            <w:left w:val="none" w:sz="0" w:space="0" w:color="auto"/>
            <w:bottom w:val="none" w:sz="0" w:space="0" w:color="auto"/>
            <w:right w:val="none" w:sz="0" w:space="0" w:color="auto"/>
          </w:divBdr>
        </w:div>
        <w:div w:id="1564684462">
          <w:marLeft w:val="0"/>
          <w:marRight w:val="0"/>
          <w:marTop w:val="0"/>
          <w:marBottom w:val="0"/>
          <w:divBdr>
            <w:top w:val="none" w:sz="0" w:space="0" w:color="auto"/>
            <w:left w:val="none" w:sz="0" w:space="0" w:color="auto"/>
            <w:bottom w:val="none" w:sz="0" w:space="0" w:color="auto"/>
            <w:right w:val="none" w:sz="0" w:space="0" w:color="auto"/>
          </w:divBdr>
        </w:div>
        <w:div w:id="134421371">
          <w:marLeft w:val="0"/>
          <w:marRight w:val="0"/>
          <w:marTop w:val="0"/>
          <w:marBottom w:val="0"/>
          <w:divBdr>
            <w:top w:val="none" w:sz="0" w:space="0" w:color="auto"/>
            <w:left w:val="none" w:sz="0" w:space="0" w:color="auto"/>
            <w:bottom w:val="none" w:sz="0" w:space="0" w:color="auto"/>
            <w:right w:val="none" w:sz="0" w:space="0" w:color="auto"/>
          </w:divBdr>
        </w:div>
        <w:div w:id="1055741059">
          <w:marLeft w:val="0"/>
          <w:marRight w:val="0"/>
          <w:marTop w:val="0"/>
          <w:marBottom w:val="0"/>
          <w:divBdr>
            <w:top w:val="none" w:sz="0" w:space="0" w:color="auto"/>
            <w:left w:val="none" w:sz="0" w:space="0" w:color="auto"/>
            <w:bottom w:val="none" w:sz="0" w:space="0" w:color="auto"/>
            <w:right w:val="none" w:sz="0" w:space="0" w:color="auto"/>
          </w:divBdr>
        </w:div>
        <w:div w:id="1089618359">
          <w:marLeft w:val="0"/>
          <w:marRight w:val="0"/>
          <w:marTop w:val="0"/>
          <w:marBottom w:val="0"/>
          <w:divBdr>
            <w:top w:val="none" w:sz="0" w:space="0" w:color="auto"/>
            <w:left w:val="none" w:sz="0" w:space="0" w:color="auto"/>
            <w:bottom w:val="none" w:sz="0" w:space="0" w:color="auto"/>
            <w:right w:val="none" w:sz="0" w:space="0" w:color="auto"/>
          </w:divBdr>
        </w:div>
        <w:div w:id="643004661">
          <w:marLeft w:val="0"/>
          <w:marRight w:val="0"/>
          <w:marTop w:val="0"/>
          <w:marBottom w:val="0"/>
          <w:divBdr>
            <w:top w:val="none" w:sz="0" w:space="0" w:color="auto"/>
            <w:left w:val="none" w:sz="0" w:space="0" w:color="auto"/>
            <w:bottom w:val="none" w:sz="0" w:space="0" w:color="auto"/>
            <w:right w:val="none" w:sz="0" w:space="0" w:color="auto"/>
          </w:divBdr>
        </w:div>
        <w:div w:id="1989967225">
          <w:marLeft w:val="0"/>
          <w:marRight w:val="0"/>
          <w:marTop w:val="0"/>
          <w:marBottom w:val="0"/>
          <w:divBdr>
            <w:top w:val="none" w:sz="0" w:space="0" w:color="auto"/>
            <w:left w:val="none" w:sz="0" w:space="0" w:color="auto"/>
            <w:bottom w:val="none" w:sz="0" w:space="0" w:color="auto"/>
            <w:right w:val="none" w:sz="0" w:space="0" w:color="auto"/>
          </w:divBdr>
        </w:div>
        <w:div w:id="1140267638">
          <w:marLeft w:val="0"/>
          <w:marRight w:val="0"/>
          <w:marTop w:val="0"/>
          <w:marBottom w:val="0"/>
          <w:divBdr>
            <w:top w:val="none" w:sz="0" w:space="0" w:color="auto"/>
            <w:left w:val="none" w:sz="0" w:space="0" w:color="auto"/>
            <w:bottom w:val="none" w:sz="0" w:space="0" w:color="auto"/>
            <w:right w:val="none" w:sz="0" w:space="0" w:color="auto"/>
          </w:divBdr>
        </w:div>
        <w:div w:id="879631299">
          <w:marLeft w:val="0"/>
          <w:marRight w:val="0"/>
          <w:marTop w:val="0"/>
          <w:marBottom w:val="0"/>
          <w:divBdr>
            <w:top w:val="none" w:sz="0" w:space="0" w:color="auto"/>
            <w:left w:val="none" w:sz="0" w:space="0" w:color="auto"/>
            <w:bottom w:val="none" w:sz="0" w:space="0" w:color="auto"/>
            <w:right w:val="none" w:sz="0" w:space="0" w:color="auto"/>
          </w:divBdr>
        </w:div>
        <w:div w:id="261957557">
          <w:marLeft w:val="0"/>
          <w:marRight w:val="0"/>
          <w:marTop w:val="0"/>
          <w:marBottom w:val="0"/>
          <w:divBdr>
            <w:top w:val="none" w:sz="0" w:space="0" w:color="auto"/>
            <w:left w:val="none" w:sz="0" w:space="0" w:color="auto"/>
            <w:bottom w:val="none" w:sz="0" w:space="0" w:color="auto"/>
            <w:right w:val="none" w:sz="0" w:space="0" w:color="auto"/>
          </w:divBdr>
        </w:div>
        <w:div w:id="1667397487">
          <w:marLeft w:val="0"/>
          <w:marRight w:val="0"/>
          <w:marTop w:val="0"/>
          <w:marBottom w:val="0"/>
          <w:divBdr>
            <w:top w:val="none" w:sz="0" w:space="0" w:color="auto"/>
            <w:left w:val="none" w:sz="0" w:space="0" w:color="auto"/>
            <w:bottom w:val="none" w:sz="0" w:space="0" w:color="auto"/>
            <w:right w:val="none" w:sz="0" w:space="0" w:color="auto"/>
          </w:divBdr>
        </w:div>
        <w:div w:id="152185324">
          <w:marLeft w:val="0"/>
          <w:marRight w:val="0"/>
          <w:marTop w:val="0"/>
          <w:marBottom w:val="0"/>
          <w:divBdr>
            <w:top w:val="none" w:sz="0" w:space="0" w:color="auto"/>
            <w:left w:val="none" w:sz="0" w:space="0" w:color="auto"/>
            <w:bottom w:val="none" w:sz="0" w:space="0" w:color="auto"/>
            <w:right w:val="none" w:sz="0" w:space="0" w:color="auto"/>
          </w:divBdr>
        </w:div>
        <w:div w:id="1273631543">
          <w:marLeft w:val="0"/>
          <w:marRight w:val="0"/>
          <w:marTop w:val="0"/>
          <w:marBottom w:val="0"/>
          <w:divBdr>
            <w:top w:val="none" w:sz="0" w:space="0" w:color="auto"/>
            <w:left w:val="none" w:sz="0" w:space="0" w:color="auto"/>
            <w:bottom w:val="none" w:sz="0" w:space="0" w:color="auto"/>
            <w:right w:val="none" w:sz="0" w:space="0" w:color="auto"/>
          </w:divBdr>
        </w:div>
        <w:div w:id="983974407">
          <w:marLeft w:val="0"/>
          <w:marRight w:val="0"/>
          <w:marTop w:val="0"/>
          <w:marBottom w:val="0"/>
          <w:divBdr>
            <w:top w:val="none" w:sz="0" w:space="0" w:color="auto"/>
            <w:left w:val="none" w:sz="0" w:space="0" w:color="auto"/>
            <w:bottom w:val="none" w:sz="0" w:space="0" w:color="auto"/>
            <w:right w:val="none" w:sz="0" w:space="0" w:color="auto"/>
          </w:divBdr>
        </w:div>
        <w:div w:id="589121112">
          <w:marLeft w:val="0"/>
          <w:marRight w:val="0"/>
          <w:marTop w:val="0"/>
          <w:marBottom w:val="0"/>
          <w:divBdr>
            <w:top w:val="none" w:sz="0" w:space="0" w:color="auto"/>
            <w:left w:val="none" w:sz="0" w:space="0" w:color="auto"/>
            <w:bottom w:val="none" w:sz="0" w:space="0" w:color="auto"/>
            <w:right w:val="none" w:sz="0" w:space="0" w:color="auto"/>
          </w:divBdr>
        </w:div>
        <w:div w:id="1006054595">
          <w:marLeft w:val="0"/>
          <w:marRight w:val="0"/>
          <w:marTop w:val="0"/>
          <w:marBottom w:val="0"/>
          <w:divBdr>
            <w:top w:val="none" w:sz="0" w:space="0" w:color="auto"/>
            <w:left w:val="none" w:sz="0" w:space="0" w:color="auto"/>
            <w:bottom w:val="none" w:sz="0" w:space="0" w:color="auto"/>
            <w:right w:val="none" w:sz="0" w:space="0" w:color="auto"/>
          </w:divBdr>
        </w:div>
        <w:div w:id="1143085116">
          <w:marLeft w:val="0"/>
          <w:marRight w:val="0"/>
          <w:marTop w:val="0"/>
          <w:marBottom w:val="0"/>
          <w:divBdr>
            <w:top w:val="none" w:sz="0" w:space="0" w:color="auto"/>
            <w:left w:val="none" w:sz="0" w:space="0" w:color="auto"/>
            <w:bottom w:val="none" w:sz="0" w:space="0" w:color="auto"/>
            <w:right w:val="none" w:sz="0" w:space="0" w:color="auto"/>
          </w:divBdr>
        </w:div>
        <w:div w:id="897399550">
          <w:marLeft w:val="0"/>
          <w:marRight w:val="0"/>
          <w:marTop w:val="0"/>
          <w:marBottom w:val="0"/>
          <w:divBdr>
            <w:top w:val="none" w:sz="0" w:space="0" w:color="auto"/>
            <w:left w:val="none" w:sz="0" w:space="0" w:color="auto"/>
            <w:bottom w:val="none" w:sz="0" w:space="0" w:color="auto"/>
            <w:right w:val="none" w:sz="0" w:space="0" w:color="auto"/>
          </w:divBdr>
        </w:div>
        <w:div w:id="1196427740">
          <w:marLeft w:val="0"/>
          <w:marRight w:val="0"/>
          <w:marTop w:val="0"/>
          <w:marBottom w:val="0"/>
          <w:divBdr>
            <w:top w:val="none" w:sz="0" w:space="0" w:color="auto"/>
            <w:left w:val="none" w:sz="0" w:space="0" w:color="auto"/>
            <w:bottom w:val="none" w:sz="0" w:space="0" w:color="auto"/>
            <w:right w:val="none" w:sz="0" w:space="0" w:color="auto"/>
          </w:divBdr>
        </w:div>
        <w:div w:id="1234318690">
          <w:marLeft w:val="0"/>
          <w:marRight w:val="0"/>
          <w:marTop w:val="0"/>
          <w:marBottom w:val="0"/>
          <w:divBdr>
            <w:top w:val="none" w:sz="0" w:space="0" w:color="auto"/>
            <w:left w:val="none" w:sz="0" w:space="0" w:color="auto"/>
            <w:bottom w:val="none" w:sz="0" w:space="0" w:color="auto"/>
            <w:right w:val="none" w:sz="0" w:space="0" w:color="auto"/>
          </w:divBdr>
        </w:div>
        <w:div w:id="118189919">
          <w:marLeft w:val="0"/>
          <w:marRight w:val="0"/>
          <w:marTop w:val="0"/>
          <w:marBottom w:val="0"/>
          <w:divBdr>
            <w:top w:val="none" w:sz="0" w:space="0" w:color="auto"/>
            <w:left w:val="none" w:sz="0" w:space="0" w:color="auto"/>
            <w:bottom w:val="none" w:sz="0" w:space="0" w:color="auto"/>
            <w:right w:val="none" w:sz="0" w:space="0" w:color="auto"/>
          </w:divBdr>
        </w:div>
        <w:div w:id="921985497">
          <w:marLeft w:val="0"/>
          <w:marRight w:val="0"/>
          <w:marTop w:val="0"/>
          <w:marBottom w:val="0"/>
          <w:divBdr>
            <w:top w:val="none" w:sz="0" w:space="0" w:color="auto"/>
            <w:left w:val="none" w:sz="0" w:space="0" w:color="auto"/>
            <w:bottom w:val="none" w:sz="0" w:space="0" w:color="auto"/>
            <w:right w:val="none" w:sz="0" w:space="0" w:color="auto"/>
          </w:divBdr>
        </w:div>
        <w:div w:id="1586499128">
          <w:marLeft w:val="0"/>
          <w:marRight w:val="0"/>
          <w:marTop w:val="0"/>
          <w:marBottom w:val="0"/>
          <w:divBdr>
            <w:top w:val="none" w:sz="0" w:space="0" w:color="auto"/>
            <w:left w:val="none" w:sz="0" w:space="0" w:color="auto"/>
            <w:bottom w:val="none" w:sz="0" w:space="0" w:color="auto"/>
            <w:right w:val="none" w:sz="0" w:space="0" w:color="auto"/>
          </w:divBdr>
        </w:div>
        <w:div w:id="360134543">
          <w:marLeft w:val="0"/>
          <w:marRight w:val="0"/>
          <w:marTop w:val="0"/>
          <w:marBottom w:val="0"/>
          <w:divBdr>
            <w:top w:val="none" w:sz="0" w:space="0" w:color="auto"/>
            <w:left w:val="none" w:sz="0" w:space="0" w:color="auto"/>
            <w:bottom w:val="none" w:sz="0" w:space="0" w:color="auto"/>
            <w:right w:val="none" w:sz="0" w:space="0" w:color="auto"/>
          </w:divBdr>
        </w:div>
        <w:div w:id="2020111173">
          <w:marLeft w:val="0"/>
          <w:marRight w:val="0"/>
          <w:marTop w:val="0"/>
          <w:marBottom w:val="0"/>
          <w:divBdr>
            <w:top w:val="none" w:sz="0" w:space="0" w:color="auto"/>
            <w:left w:val="none" w:sz="0" w:space="0" w:color="auto"/>
            <w:bottom w:val="none" w:sz="0" w:space="0" w:color="auto"/>
            <w:right w:val="none" w:sz="0" w:space="0" w:color="auto"/>
          </w:divBdr>
        </w:div>
        <w:div w:id="1011449399">
          <w:marLeft w:val="0"/>
          <w:marRight w:val="0"/>
          <w:marTop w:val="0"/>
          <w:marBottom w:val="0"/>
          <w:divBdr>
            <w:top w:val="none" w:sz="0" w:space="0" w:color="auto"/>
            <w:left w:val="none" w:sz="0" w:space="0" w:color="auto"/>
            <w:bottom w:val="none" w:sz="0" w:space="0" w:color="auto"/>
            <w:right w:val="none" w:sz="0" w:space="0" w:color="auto"/>
          </w:divBdr>
        </w:div>
        <w:div w:id="740904741">
          <w:marLeft w:val="0"/>
          <w:marRight w:val="0"/>
          <w:marTop w:val="0"/>
          <w:marBottom w:val="0"/>
          <w:divBdr>
            <w:top w:val="none" w:sz="0" w:space="0" w:color="auto"/>
            <w:left w:val="none" w:sz="0" w:space="0" w:color="auto"/>
            <w:bottom w:val="none" w:sz="0" w:space="0" w:color="auto"/>
            <w:right w:val="none" w:sz="0" w:space="0" w:color="auto"/>
          </w:divBdr>
        </w:div>
        <w:div w:id="1536036486">
          <w:marLeft w:val="0"/>
          <w:marRight w:val="0"/>
          <w:marTop w:val="0"/>
          <w:marBottom w:val="0"/>
          <w:divBdr>
            <w:top w:val="none" w:sz="0" w:space="0" w:color="auto"/>
            <w:left w:val="none" w:sz="0" w:space="0" w:color="auto"/>
            <w:bottom w:val="none" w:sz="0" w:space="0" w:color="auto"/>
            <w:right w:val="none" w:sz="0" w:space="0" w:color="auto"/>
          </w:divBdr>
        </w:div>
        <w:div w:id="1242370961">
          <w:marLeft w:val="0"/>
          <w:marRight w:val="0"/>
          <w:marTop w:val="0"/>
          <w:marBottom w:val="0"/>
          <w:divBdr>
            <w:top w:val="none" w:sz="0" w:space="0" w:color="auto"/>
            <w:left w:val="none" w:sz="0" w:space="0" w:color="auto"/>
            <w:bottom w:val="none" w:sz="0" w:space="0" w:color="auto"/>
            <w:right w:val="none" w:sz="0" w:space="0" w:color="auto"/>
          </w:divBdr>
        </w:div>
        <w:div w:id="971600410">
          <w:marLeft w:val="0"/>
          <w:marRight w:val="0"/>
          <w:marTop w:val="0"/>
          <w:marBottom w:val="0"/>
          <w:divBdr>
            <w:top w:val="none" w:sz="0" w:space="0" w:color="auto"/>
            <w:left w:val="none" w:sz="0" w:space="0" w:color="auto"/>
            <w:bottom w:val="none" w:sz="0" w:space="0" w:color="auto"/>
            <w:right w:val="none" w:sz="0" w:space="0" w:color="auto"/>
          </w:divBdr>
        </w:div>
        <w:div w:id="1907452087">
          <w:marLeft w:val="0"/>
          <w:marRight w:val="0"/>
          <w:marTop w:val="0"/>
          <w:marBottom w:val="0"/>
          <w:divBdr>
            <w:top w:val="none" w:sz="0" w:space="0" w:color="auto"/>
            <w:left w:val="none" w:sz="0" w:space="0" w:color="auto"/>
            <w:bottom w:val="none" w:sz="0" w:space="0" w:color="auto"/>
            <w:right w:val="none" w:sz="0" w:space="0" w:color="auto"/>
          </w:divBdr>
        </w:div>
        <w:div w:id="1384907193">
          <w:marLeft w:val="0"/>
          <w:marRight w:val="0"/>
          <w:marTop w:val="0"/>
          <w:marBottom w:val="0"/>
          <w:divBdr>
            <w:top w:val="none" w:sz="0" w:space="0" w:color="auto"/>
            <w:left w:val="none" w:sz="0" w:space="0" w:color="auto"/>
            <w:bottom w:val="none" w:sz="0" w:space="0" w:color="auto"/>
            <w:right w:val="none" w:sz="0" w:space="0" w:color="auto"/>
          </w:divBdr>
        </w:div>
        <w:div w:id="583953840">
          <w:marLeft w:val="0"/>
          <w:marRight w:val="0"/>
          <w:marTop w:val="0"/>
          <w:marBottom w:val="0"/>
          <w:divBdr>
            <w:top w:val="none" w:sz="0" w:space="0" w:color="auto"/>
            <w:left w:val="none" w:sz="0" w:space="0" w:color="auto"/>
            <w:bottom w:val="none" w:sz="0" w:space="0" w:color="auto"/>
            <w:right w:val="none" w:sz="0" w:space="0" w:color="auto"/>
          </w:divBdr>
        </w:div>
        <w:div w:id="582884525">
          <w:marLeft w:val="0"/>
          <w:marRight w:val="0"/>
          <w:marTop w:val="0"/>
          <w:marBottom w:val="0"/>
          <w:divBdr>
            <w:top w:val="none" w:sz="0" w:space="0" w:color="auto"/>
            <w:left w:val="none" w:sz="0" w:space="0" w:color="auto"/>
            <w:bottom w:val="none" w:sz="0" w:space="0" w:color="auto"/>
            <w:right w:val="none" w:sz="0" w:space="0" w:color="auto"/>
          </w:divBdr>
        </w:div>
        <w:div w:id="585892565">
          <w:marLeft w:val="0"/>
          <w:marRight w:val="0"/>
          <w:marTop w:val="0"/>
          <w:marBottom w:val="0"/>
          <w:divBdr>
            <w:top w:val="none" w:sz="0" w:space="0" w:color="auto"/>
            <w:left w:val="none" w:sz="0" w:space="0" w:color="auto"/>
            <w:bottom w:val="none" w:sz="0" w:space="0" w:color="auto"/>
            <w:right w:val="none" w:sz="0" w:space="0" w:color="auto"/>
          </w:divBdr>
        </w:div>
        <w:div w:id="599489268">
          <w:marLeft w:val="0"/>
          <w:marRight w:val="0"/>
          <w:marTop w:val="0"/>
          <w:marBottom w:val="0"/>
          <w:divBdr>
            <w:top w:val="none" w:sz="0" w:space="0" w:color="auto"/>
            <w:left w:val="none" w:sz="0" w:space="0" w:color="auto"/>
            <w:bottom w:val="none" w:sz="0" w:space="0" w:color="auto"/>
            <w:right w:val="none" w:sz="0" w:space="0" w:color="auto"/>
          </w:divBdr>
        </w:div>
        <w:div w:id="155729950">
          <w:marLeft w:val="0"/>
          <w:marRight w:val="0"/>
          <w:marTop w:val="0"/>
          <w:marBottom w:val="0"/>
          <w:divBdr>
            <w:top w:val="none" w:sz="0" w:space="0" w:color="auto"/>
            <w:left w:val="none" w:sz="0" w:space="0" w:color="auto"/>
            <w:bottom w:val="none" w:sz="0" w:space="0" w:color="auto"/>
            <w:right w:val="none" w:sz="0" w:space="0" w:color="auto"/>
          </w:divBdr>
        </w:div>
        <w:div w:id="1733845562">
          <w:marLeft w:val="0"/>
          <w:marRight w:val="0"/>
          <w:marTop w:val="0"/>
          <w:marBottom w:val="0"/>
          <w:divBdr>
            <w:top w:val="none" w:sz="0" w:space="0" w:color="auto"/>
            <w:left w:val="none" w:sz="0" w:space="0" w:color="auto"/>
            <w:bottom w:val="none" w:sz="0" w:space="0" w:color="auto"/>
            <w:right w:val="none" w:sz="0" w:space="0" w:color="auto"/>
          </w:divBdr>
        </w:div>
        <w:div w:id="1752506874">
          <w:marLeft w:val="0"/>
          <w:marRight w:val="0"/>
          <w:marTop w:val="0"/>
          <w:marBottom w:val="0"/>
          <w:divBdr>
            <w:top w:val="none" w:sz="0" w:space="0" w:color="auto"/>
            <w:left w:val="none" w:sz="0" w:space="0" w:color="auto"/>
            <w:bottom w:val="none" w:sz="0" w:space="0" w:color="auto"/>
            <w:right w:val="none" w:sz="0" w:space="0" w:color="auto"/>
          </w:divBdr>
        </w:div>
        <w:div w:id="20517502">
          <w:marLeft w:val="0"/>
          <w:marRight w:val="0"/>
          <w:marTop w:val="0"/>
          <w:marBottom w:val="0"/>
          <w:divBdr>
            <w:top w:val="none" w:sz="0" w:space="0" w:color="auto"/>
            <w:left w:val="none" w:sz="0" w:space="0" w:color="auto"/>
            <w:bottom w:val="none" w:sz="0" w:space="0" w:color="auto"/>
            <w:right w:val="none" w:sz="0" w:space="0" w:color="auto"/>
          </w:divBdr>
        </w:div>
        <w:div w:id="55016139">
          <w:marLeft w:val="0"/>
          <w:marRight w:val="0"/>
          <w:marTop w:val="0"/>
          <w:marBottom w:val="0"/>
          <w:divBdr>
            <w:top w:val="none" w:sz="0" w:space="0" w:color="auto"/>
            <w:left w:val="none" w:sz="0" w:space="0" w:color="auto"/>
            <w:bottom w:val="none" w:sz="0" w:space="0" w:color="auto"/>
            <w:right w:val="none" w:sz="0" w:space="0" w:color="auto"/>
          </w:divBdr>
        </w:div>
        <w:div w:id="1698313174">
          <w:marLeft w:val="0"/>
          <w:marRight w:val="0"/>
          <w:marTop w:val="0"/>
          <w:marBottom w:val="0"/>
          <w:divBdr>
            <w:top w:val="none" w:sz="0" w:space="0" w:color="auto"/>
            <w:left w:val="none" w:sz="0" w:space="0" w:color="auto"/>
            <w:bottom w:val="none" w:sz="0" w:space="0" w:color="auto"/>
            <w:right w:val="none" w:sz="0" w:space="0" w:color="auto"/>
          </w:divBdr>
        </w:div>
      </w:divsChild>
    </w:div>
    <w:div w:id="1148210028">
      <w:bodyDiv w:val="1"/>
      <w:marLeft w:val="0"/>
      <w:marRight w:val="0"/>
      <w:marTop w:val="0"/>
      <w:marBottom w:val="0"/>
      <w:divBdr>
        <w:top w:val="none" w:sz="0" w:space="0" w:color="auto"/>
        <w:left w:val="none" w:sz="0" w:space="0" w:color="auto"/>
        <w:bottom w:val="none" w:sz="0" w:space="0" w:color="auto"/>
        <w:right w:val="none" w:sz="0" w:space="0" w:color="auto"/>
      </w:divBdr>
    </w:div>
    <w:div w:id="1150564106">
      <w:bodyDiv w:val="1"/>
      <w:marLeft w:val="0"/>
      <w:marRight w:val="0"/>
      <w:marTop w:val="0"/>
      <w:marBottom w:val="0"/>
      <w:divBdr>
        <w:top w:val="none" w:sz="0" w:space="0" w:color="auto"/>
        <w:left w:val="none" w:sz="0" w:space="0" w:color="auto"/>
        <w:bottom w:val="none" w:sz="0" w:space="0" w:color="auto"/>
        <w:right w:val="none" w:sz="0" w:space="0" w:color="auto"/>
      </w:divBdr>
      <w:divsChild>
        <w:div w:id="2067754825">
          <w:marLeft w:val="0"/>
          <w:marRight w:val="0"/>
          <w:marTop w:val="0"/>
          <w:marBottom w:val="0"/>
          <w:divBdr>
            <w:top w:val="none" w:sz="0" w:space="0" w:color="auto"/>
            <w:left w:val="none" w:sz="0" w:space="0" w:color="auto"/>
            <w:bottom w:val="none" w:sz="0" w:space="0" w:color="auto"/>
            <w:right w:val="none" w:sz="0" w:space="0" w:color="auto"/>
          </w:divBdr>
        </w:div>
        <w:div w:id="1843200453">
          <w:marLeft w:val="0"/>
          <w:marRight w:val="0"/>
          <w:marTop w:val="0"/>
          <w:marBottom w:val="0"/>
          <w:divBdr>
            <w:top w:val="none" w:sz="0" w:space="0" w:color="auto"/>
            <w:left w:val="none" w:sz="0" w:space="0" w:color="auto"/>
            <w:bottom w:val="none" w:sz="0" w:space="0" w:color="auto"/>
            <w:right w:val="none" w:sz="0" w:space="0" w:color="auto"/>
          </w:divBdr>
        </w:div>
        <w:div w:id="1919169903">
          <w:marLeft w:val="0"/>
          <w:marRight w:val="0"/>
          <w:marTop w:val="0"/>
          <w:marBottom w:val="0"/>
          <w:divBdr>
            <w:top w:val="none" w:sz="0" w:space="0" w:color="auto"/>
            <w:left w:val="none" w:sz="0" w:space="0" w:color="auto"/>
            <w:bottom w:val="none" w:sz="0" w:space="0" w:color="auto"/>
            <w:right w:val="none" w:sz="0" w:space="0" w:color="auto"/>
          </w:divBdr>
        </w:div>
        <w:div w:id="153841057">
          <w:marLeft w:val="0"/>
          <w:marRight w:val="0"/>
          <w:marTop w:val="0"/>
          <w:marBottom w:val="0"/>
          <w:divBdr>
            <w:top w:val="none" w:sz="0" w:space="0" w:color="auto"/>
            <w:left w:val="none" w:sz="0" w:space="0" w:color="auto"/>
            <w:bottom w:val="none" w:sz="0" w:space="0" w:color="auto"/>
            <w:right w:val="none" w:sz="0" w:space="0" w:color="auto"/>
          </w:divBdr>
        </w:div>
        <w:div w:id="1534145807">
          <w:marLeft w:val="0"/>
          <w:marRight w:val="0"/>
          <w:marTop w:val="0"/>
          <w:marBottom w:val="0"/>
          <w:divBdr>
            <w:top w:val="none" w:sz="0" w:space="0" w:color="auto"/>
            <w:left w:val="none" w:sz="0" w:space="0" w:color="auto"/>
            <w:bottom w:val="none" w:sz="0" w:space="0" w:color="auto"/>
            <w:right w:val="none" w:sz="0" w:space="0" w:color="auto"/>
          </w:divBdr>
        </w:div>
        <w:div w:id="475297183">
          <w:marLeft w:val="0"/>
          <w:marRight w:val="0"/>
          <w:marTop w:val="0"/>
          <w:marBottom w:val="0"/>
          <w:divBdr>
            <w:top w:val="none" w:sz="0" w:space="0" w:color="auto"/>
            <w:left w:val="none" w:sz="0" w:space="0" w:color="auto"/>
            <w:bottom w:val="none" w:sz="0" w:space="0" w:color="auto"/>
            <w:right w:val="none" w:sz="0" w:space="0" w:color="auto"/>
          </w:divBdr>
        </w:div>
        <w:div w:id="2033260608">
          <w:marLeft w:val="0"/>
          <w:marRight w:val="0"/>
          <w:marTop w:val="0"/>
          <w:marBottom w:val="0"/>
          <w:divBdr>
            <w:top w:val="none" w:sz="0" w:space="0" w:color="auto"/>
            <w:left w:val="none" w:sz="0" w:space="0" w:color="auto"/>
            <w:bottom w:val="none" w:sz="0" w:space="0" w:color="auto"/>
            <w:right w:val="none" w:sz="0" w:space="0" w:color="auto"/>
          </w:divBdr>
        </w:div>
        <w:div w:id="1587499142">
          <w:marLeft w:val="0"/>
          <w:marRight w:val="0"/>
          <w:marTop w:val="0"/>
          <w:marBottom w:val="0"/>
          <w:divBdr>
            <w:top w:val="none" w:sz="0" w:space="0" w:color="auto"/>
            <w:left w:val="none" w:sz="0" w:space="0" w:color="auto"/>
            <w:bottom w:val="none" w:sz="0" w:space="0" w:color="auto"/>
            <w:right w:val="none" w:sz="0" w:space="0" w:color="auto"/>
          </w:divBdr>
        </w:div>
        <w:div w:id="845486231">
          <w:marLeft w:val="0"/>
          <w:marRight w:val="0"/>
          <w:marTop w:val="0"/>
          <w:marBottom w:val="0"/>
          <w:divBdr>
            <w:top w:val="none" w:sz="0" w:space="0" w:color="auto"/>
            <w:left w:val="none" w:sz="0" w:space="0" w:color="auto"/>
            <w:bottom w:val="none" w:sz="0" w:space="0" w:color="auto"/>
            <w:right w:val="none" w:sz="0" w:space="0" w:color="auto"/>
          </w:divBdr>
        </w:div>
        <w:div w:id="1759978479">
          <w:marLeft w:val="0"/>
          <w:marRight w:val="0"/>
          <w:marTop w:val="0"/>
          <w:marBottom w:val="0"/>
          <w:divBdr>
            <w:top w:val="none" w:sz="0" w:space="0" w:color="auto"/>
            <w:left w:val="none" w:sz="0" w:space="0" w:color="auto"/>
            <w:bottom w:val="none" w:sz="0" w:space="0" w:color="auto"/>
            <w:right w:val="none" w:sz="0" w:space="0" w:color="auto"/>
          </w:divBdr>
        </w:div>
        <w:div w:id="371810677">
          <w:marLeft w:val="0"/>
          <w:marRight w:val="0"/>
          <w:marTop w:val="0"/>
          <w:marBottom w:val="0"/>
          <w:divBdr>
            <w:top w:val="none" w:sz="0" w:space="0" w:color="auto"/>
            <w:left w:val="none" w:sz="0" w:space="0" w:color="auto"/>
            <w:bottom w:val="none" w:sz="0" w:space="0" w:color="auto"/>
            <w:right w:val="none" w:sz="0" w:space="0" w:color="auto"/>
          </w:divBdr>
        </w:div>
        <w:div w:id="1864325300">
          <w:marLeft w:val="0"/>
          <w:marRight w:val="0"/>
          <w:marTop w:val="0"/>
          <w:marBottom w:val="0"/>
          <w:divBdr>
            <w:top w:val="none" w:sz="0" w:space="0" w:color="auto"/>
            <w:left w:val="none" w:sz="0" w:space="0" w:color="auto"/>
            <w:bottom w:val="none" w:sz="0" w:space="0" w:color="auto"/>
            <w:right w:val="none" w:sz="0" w:space="0" w:color="auto"/>
          </w:divBdr>
        </w:div>
        <w:div w:id="372458999">
          <w:marLeft w:val="0"/>
          <w:marRight w:val="0"/>
          <w:marTop w:val="0"/>
          <w:marBottom w:val="0"/>
          <w:divBdr>
            <w:top w:val="none" w:sz="0" w:space="0" w:color="auto"/>
            <w:left w:val="none" w:sz="0" w:space="0" w:color="auto"/>
            <w:bottom w:val="none" w:sz="0" w:space="0" w:color="auto"/>
            <w:right w:val="none" w:sz="0" w:space="0" w:color="auto"/>
          </w:divBdr>
        </w:div>
        <w:div w:id="929849203">
          <w:marLeft w:val="0"/>
          <w:marRight w:val="0"/>
          <w:marTop w:val="0"/>
          <w:marBottom w:val="0"/>
          <w:divBdr>
            <w:top w:val="none" w:sz="0" w:space="0" w:color="auto"/>
            <w:left w:val="none" w:sz="0" w:space="0" w:color="auto"/>
            <w:bottom w:val="none" w:sz="0" w:space="0" w:color="auto"/>
            <w:right w:val="none" w:sz="0" w:space="0" w:color="auto"/>
          </w:divBdr>
        </w:div>
        <w:div w:id="1918131093">
          <w:marLeft w:val="0"/>
          <w:marRight w:val="0"/>
          <w:marTop w:val="0"/>
          <w:marBottom w:val="0"/>
          <w:divBdr>
            <w:top w:val="none" w:sz="0" w:space="0" w:color="auto"/>
            <w:left w:val="none" w:sz="0" w:space="0" w:color="auto"/>
            <w:bottom w:val="none" w:sz="0" w:space="0" w:color="auto"/>
            <w:right w:val="none" w:sz="0" w:space="0" w:color="auto"/>
          </w:divBdr>
        </w:div>
        <w:div w:id="156187547">
          <w:marLeft w:val="0"/>
          <w:marRight w:val="0"/>
          <w:marTop w:val="0"/>
          <w:marBottom w:val="0"/>
          <w:divBdr>
            <w:top w:val="none" w:sz="0" w:space="0" w:color="auto"/>
            <w:left w:val="none" w:sz="0" w:space="0" w:color="auto"/>
            <w:bottom w:val="none" w:sz="0" w:space="0" w:color="auto"/>
            <w:right w:val="none" w:sz="0" w:space="0" w:color="auto"/>
          </w:divBdr>
        </w:div>
        <w:div w:id="846795359">
          <w:marLeft w:val="0"/>
          <w:marRight w:val="0"/>
          <w:marTop w:val="0"/>
          <w:marBottom w:val="0"/>
          <w:divBdr>
            <w:top w:val="none" w:sz="0" w:space="0" w:color="auto"/>
            <w:left w:val="none" w:sz="0" w:space="0" w:color="auto"/>
            <w:bottom w:val="none" w:sz="0" w:space="0" w:color="auto"/>
            <w:right w:val="none" w:sz="0" w:space="0" w:color="auto"/>
          </w:divBdr>
        </w:div>
      </w:divsChild>
    </w:div>
    <w:div w:id="1220747633">
      <w:bodyDiv w:val="1"/>
      <w:marLeft w:val="0"/>
      <w:marRight w:val="0"/>
      <w:marTop w:val="0"/>
      <w:marBottom w:val="0"/>
      <w:divBdr>
        <w:top w:val="none" w:sz="0" w:space="0" w:color="auto"/>
        <w:left w:val="none" w:sz="0" w:space="0" w:color="auto"/>
        <w:bottom w:val="none" w:sz="0" w:space="0" w:color="auto"/>
        <w:right w:val="none" w:sz="0" w:space="0" w:color="auto"/>
      </w:divBdr>
      <w:divsChild>
        <w:div w:id="170878304">
          <w:marLeft w:val="0"/>
          <w:marRight w:val="0"/>
          <w:marTop w:val="0"/>
          <w:marBottom w:val="0"/>
          <w:divBdr>
            <w:top w:val="none" w:sz="0" w:space="0" w:color="auto"/>
            <w:left w:val="none" w:sz="0" w:space="0" w:color="auto"/>
            <w:bottom w:val="none" w:sz="0" w:space="0" w:color="auto"/>
            <w:right w:val="none" w:sz="0" w:space="0" w:color="auto"/>
          </w:divBdr>
        </w:div>
        <w:div w:id="918246016">
          <w:marLeft w:val="0"/>
          <w:marRight w:val="0"/>
          <w:marTop w:val="0"/>
          <w:marBottom w:val="0"/>
          <w:divBdr>
            <w:top w:val="none" w:sz="0" w:space="0" w:color="auto"/>
            <w:left w:val="none" w:sz="0" w:space="0" w:color="auto"/>
            <w:bottom w:val="none" w:sz="0" w:space="0" w:color="auto"/>
            <w:right w:val="none" w:sz="0" w:space="0" w:color="auto"/>
          </w:divBdr>
        </w:div>
        <w:div w:id="534663709">
          <w:marLeft w:val="0"/>
          <w:marRight w:val="0"/>
          <w:marTop w:val="0"/>
          <w:marBottom w:val="0"/>
          <w:divBdr>
            <w:top w:val="none" w:sz="0" w:space="0" w:color="auto"/>
            <w:left w:val="none" w:sz="0" w:space="0" w:color="auto"/>
            <w:bottom w:val="none" w:sz="0" w:space="0" w:color="auto"/>
            <w:right w:val="none" w:sz="0" w:space="0" w:color="auto"/>
          </w:divBdr>
        </w:div>
      </w:divsChild>
    </w:div>
    <w:div w:id="1233657319">
      <w:bodyDiv w:val="1"/>
      <w:marLeft w:val="0"/>
      <w:marRight w:val="0"/>
      <w:marTop w:val="0"/>
      <w:marBottom w:val="0"/>
      <w:divBdr>
        <w:top w:val="none" w:sz="0" w:space="0" w:color="auto"/>
        <w:left w:val="none" w:sz="0" w:space="0" w:color="auto"/>
        <w:bottom w:val="none" w:sz="0" w:space="0" w:color="auto"/>
        <w:right w:val="none" w:sz="0" w:space="0" w:color="auto"/>
      </w:divBdr>
      <w:divsChild>
        <w:div w:id="703017106">
          <w:marLeft w:val="0"/>
          <w:marRight w:val="0"/>
          <w:marTop w:val="0"/>
          <w:marBottom w:val="0"/>
          <w:divBdr>
            <w:top w:val="none" w:sz="0" w:space="0" w:color="auto"/>
            <w:left w:val="none" w:sz="0" w:space="0" w:color="auto"/>
            <w:bottom w:val="none" w:sz="0" w:space="0" w:color="auto"/>
            <w:right w:val="none" w:sz="0" w:space="0" w:color="auto"/>
          </w:divBdr>
        </w:div>
        <w:div w:id="2024286040">
          <w:marLeft w:val="0"/>
          <w:marRight w:val="0"/>
          <w:marTop w:val="0"/>
          <w:marBottom w:val="0"/>
          <w:divBdr>
            <w:top w:val="none" w:sz="0" w:space="0" w:color="auto"/>
            <w:left w:val="none" w:sz="0" w:space="0" w:color="auto"/>
            <w:bottom w:val="none" w:sz="0" w:space="0" w:color="auto"/>
            <w:right w:val="none" w:sz="0" w:space="0" w:color="auto"/>
          </w:divBdr>
        </w:div>
        <w:div w:id="1661344304">
          <w:marLeft w:val="0"/>
          <w:marRight w:val="0"/>
          <w:marTop w:val="0"/>
          <w:marBottom w:val="0"/>
          <w:divBdr>
            <w:top w:val="none" w:sz="0" w:space="0" w:color="auto"/>
            <w:left w:val="none" w:sz="0" w:space="0" w:color="auto"/>
            <w:bottom w:val="none" w:sz="0" w:space="0" w:color="auto"/>
            <w:right w:val="none" w:sz="0" w:space="0" w:color="auto"/>
          </w:divBdr>
        </w:div>
        <w:div w:id="952052761">
          <w:marLeft w:val="0"/>
          <w:marRight w:val="0"/>
          <w:marTop w:val="0"/>
          <w:marBottom w:val="0"/>
          <w:divBdr>
            <w:top w:val="none" w:sz="0" w:space="0" w:color="auto"/>
            <w:left w:val="none" w:sz="0" w:space="0" w:color="auto"/>
            <w:bottom w:val="none" w:sz="0" w:space="0" w:color="auto"/>
            <w:right w:val="none" w:sz="0" w:space="0" w:color="auto"/>
          </w:divBdr>
        </w:div>
      </w:divsChild>
    </w:div>
    <w:div w:id="1277106461">
      <w:bodyDiv w:val="1"/>
      <w:marLeft w:val="0"/>
      <w:marRight w:val="0"/>
      <w:marTop w:val="0"/>
      <w:marBottom w:val="0"/>
      <w:divBdr>
        <w:top w:val="none" w:sz="0" w:space="0" w:color="auto"/>
        <w:left w:val="none" w:sz="0" w:space="0" w:color="auto"/>
        <w:bottom w:val="none" w:sz="0" w:space="0" w:color="auto"/>
        <w:right w:val="none" w:sz="0" w:space="0" w:color="auto"/>
      </w:divBdr>
      <w:divsChild>
        <w:div w:id="138498567">
          <w:marLeft w:val="0"/>
          <w:marRight w:val="0"/>
          <w:marTop w:val="0"/>
          <w:marBottom w:val="0"/>
          <w:divBdr>
            <w:top w:val="none" w:sz="0" w:space="0" w:color="auto"/>
            <w:left w:val="none" w:sz="0" w:space="0" w:color="auto"/>
            <w:bottom w:val="none" w:sz="0" w:space="0" w:color="auto"/>
            <w:right w:val="none" w:sz="0" w:space="0" w:color="auto"/>
          </w:divBdr>
        </w:div>
        <w:div w:id="146364905">
          <w:marLeft w:val="0"/>
          <w:marRight w:val="0"/>
          <w:marTop w:val="0"/>
          <w:marBottom w:val="0"/>
          <w:divBdr>
            <w:top w:val="none" w:sz="0" w:space="0" w:color="auto"/>
            <w:left w:val="none" w:sz="0" w:space="0" w:color="auto"/>
            <w:bottom w:val="none" w:sz="0" w:space="0" w:color="auto"/>
            <w:right w:val="none" w:sz="0" w:space="0" w:color="auto"/>
          </w:divBdr>
        </w:div>
        <w:div w:id="1866138906">
          <w:marLeft w:val="0"/>
          <w:marRight w:val="0"/>
          <w:marTop w:val="0"/>
          <w:marBottom w:val="0"/>
          <w:divBdr>
            <w:top w:val="none" w:sz="0" w:space="0" w:color="auto"/>
            <w:left w:val="none" w:sz="0" w:space="0" w:color="auto"/>
            <w:bottom w:val="none" w:sz="0" w:space="0" w:color="auto"/>
            <w:right w:val="none" w:sz="0" w:space="0" w:color="auto"/>
          </w:divBdr>
        </w:div>
        <w:div w:id="1250311317">
          <w:marLeft w:val="0"/>
          <w:marRight w:val="0"/>
          <w:marTop w:val="0"/>
          <w:marBottom w:val="0"/>
          <w:divBdr>
            <w:top w:val="none" w:sz="0" w:space="0" w:color="auto"/>
            <w:left w:val="none" w:sz="0" w:space="0" w:color="auto"/>
            <w:bottom w:val="none" w:sz="0" w:space="0" w:color="auto"/>
            <w:right w:val="none" w:sz="0" w:space="0" w:color="auto"/>
          </w:divBdr>
        </w:div>
        <w:div w:id="887685315">
          <w:marLeft w:val="0"/>
          <w:marRight w:val="0"/>
          <w:marTop w:val="0"/>
          <w:marBottom w:val="0"/>
          <w:divBdr>
            <w:top w:val="none" w:sz="0" w:space="0" w:color="auto"/>
            <w:left w:val="none" w:sz="0" w:space="0" w:color="auto"/>
            <w:bottom w:val="none" w:sz="0" w:space="0" w:color="auto"/>
            <w:right w:val="none" w:sz="0" w:space="0" w:color="auto"/>
          </w:divBdr>
        </w:div>
      </w:divsChild>
    </w:div>
    <w:div w:id="1393196323">
      <w:bodyDiv w:val="1"/>
      <w:marLeft w:val="0"/>
      <w:marRight w:val="0"/>
      <w:marTop w:val="0"/>
      <w:marBottom w:val="0"/>
      <w:divBdr>
        <w:top w:val="none" w:sz="0" w:space="0" w:color="auto"/>
        <w:left w:val="none" w:sz="0" w:space="0" w:color="auto"/>
        <w:bottom w:val="none" w:sz="0" w:space="0" w:color="auto"/>
        <w:right w:val="none" w:sz="0" w:space="0" w:color="auto"/>
      </w:divBdr>
      <w:divsChild>
        <w:div w:id="1211068855">
          <w:marLeft w:val="0"/>
          <w:marRight w:val="0"/>
          <w:marTop w:val="0"/>
          <w:marBottom w:val="0"/>
          <w:divBdr>
            <w:top w:val="none" w:sz="0" w:space="0" w:color="auto"/>
            <w:left w:val="none" w:sz="0" w:space="0" w:color="auto"/>
            <w:bottom w:val="none" w:sz="0" w:space="0" w:color="auto"/>
            <w:right w:val="none" w:sz="0" w:space="0" w:color="auto"/>
          </w:divBdr>
        </w:div>
        <w:div w:id="721683885">
          <w:marLeft w:val="0"/>
          <w:marRight w:val="0"/>
          <w:marTop w:val="0"/>
          <w:marBottom w:val="0"/>
          <w:divBdr>
            <w:top w:val="none" w:sz="0" w:space="0" w:color="auto"/>
            <w:left w:val="none" w:sz="0" w:space="0" w:color="auto"/>
            <w:bottom w:val="none" w:sz="0" w:space="0" w:color="auto"/>
            <w:right w:val="none" w:sz="0" w:space="0" w:color="auto"/>
          </w:divBdr>
        </w:div>
        <w:div w:id="1106344575">
          <w:marLeft w:val="0"/>
          <w:marRight w:val="0"/>
          <w:marTop w:val="0"/>
          <w:marBottom w:val="0"/>
          <w:divBdr>
            <w:top w:val="none" w:sz="0" w:space="0" w:color="auto"/>
            <w:left w:val="none" w:sz="0" w:space="0" w:color="auto"/>
            <w:bottom w:val="none" w:sz="0" w:space="0" w:color="auto"/>
            <w:right w:val="none" w:sz="0" w:space="0" w:color="auto"/>
          </w:divBdr>
        </w:div>
        <w:div w:id="2128431176">
          <w:marLeft w:val="0"/>
          <w:marRight w:val="0"/>
          <w:marTop w:val="0"/>
          <w:marBottom w:val="0"/>
          <w:divBdr>
            <w:top w:val="none" w:sz="0" w:space="0" w:color="auto"/>
            <w:left w:val="none" w:sz="0" w:space="0" w:color="auto"/>
            <w:bottom w:val="none" w:sz="0" w:space="0" w:color="auto"/>
            <w:right w:val="none" w:sz="0" w:space="0" w:color="auto"/>
          </w:divBdr>
        </w:div>
        <w:div w:id="488987640">
          <w:marLeft w:val="0"/>
          <w:marRight w:val="0"/>
          <w:marTop w:val="0"/>
          <w:marBottom w:val="0"/>
          <w:divBdr>
            <w:top w:val="none" w:sz="0" w:space="0" w:color="auto"/>
            <w:left w:val="none" w:sz="0" w:space="0" w:color="auto"/>
            <w:bottom w:val="none" w:sz="0" w:space="0" w:color="auto"/>
            <w:right w:val="none" w:sz="0" w:space="0" w:color="auto"/>
          </w:divBdr>
        </w:div>
        <w:div w:id="1766221785">
          <w:marLeft w:val="0"/>
          <w:marRight w:val="0"/>
          <w:marTop w:val="0"/>
          <w:marBottom w:val="0"/>
          <w:divBdr>
            <w:top w:val="none" w:sz="0" w:space="0" w:color="auto"/>
            <w:left w:val="none" w:sz="0" w:space="0" w:color="auto"/>
            <w:bottom w:val="none" w:sz="0" w:space="0" w:color="auto"/>
            <w:right w:val="none" w:sz="0" w:space="0" w:color="auto"/>
          </w:divBdr>
        </w:div>
        <w:div w:id="535240288">
          <w:marLeft w:val="0"/>
          <w:marRight w:val="0"/>
          <w:marTop w:val="0"/>
          <w:marBottom w:val="0"/>
          <w:divBdr>
            <w:top w:val="none" w:sz="0" w:space="0" w:color="auto"/>
            <w:left w:val="none" w:sz="0" w:space="0" w:color="auto"/>
            <w:bottom w:val="none" w:sz="0" w:space="0" w:color="auto"/>
            <w:right w:val="none" w:sz="0" w:space="0" w:color="auto"/>
          </w:divBdr>
        </w:div>
        <w:div w:id="1666202904">
          <w:marLeft w:val="0"/>
          <w:marRight w:val="0"/>
          <w:marTop w:val="0"/>
          <w:marBottom w:val="0"/>
          <w:divBdr>
            <w:top w:val="none" w:sz="0" w:space="0" w:color="auto"/>
            <w:left w:val="none" w:sz="0" w:space="0" w:color="auto"/>
            <w:bottom w:val="none" w:sz="0" w:space="0" w:color="auto"/>
            <w:right w:val="none" w:sz="0" w:space="0" w:color="auto"/>
          </w:divBdr>
        </w:div>
        <w:div w:id="1411851433">
          <w:marLeft w:val="0"/>
          <w:marRight w:val="0"/>
          <w:marTop w:val="0"/>
          <w:marBottom w:val="0"/>
          <w:divBdr>
            <w:top w:val="none" w:sz="0" w:space="0" w:color="auto"/>
            <w:left w:val="none" w:sz="0" w:space="0" w:color="auto"/>
            <w:bottom w:val="none" w:sz="0" w:space="0" w:color="auto"/>
            <w:right w:val="none" w:sz="0" w:space="0" w:color="auto"/>
          </w:divBdr>
        </w:div>
        <w:div w:id="114447861">
          <w:marLeft w:val="0"/>
          <w:marRight w:val="0"/>
          <w:marTop w:val="0"/>
          <w:marBottom w:val="0"/>
          <w:divBdr>
            <w:top w:val="none" w:sz="0" w:space="0" w:color="auto"/>
            <w:left w:val="none" w:sz="0" w:space="0" w:color="auto"/>
            <w:bottom w:val="none" w:sz="0" w:space="0" w:color="auto"/>
            <w:right w:val="none" w:sz="0" w:space="0" w:color="auto"/>
          </w:divBdr>
        </w:div>
        <w:div w:id="1062825115">
          <w:marLeft w:val="0"/>
          <w:marRight w:val="0"/>
          <w:marTop w:val="0"/>
          <w:marBottom w:val="0"/>
          <w:divBdr>
            <w:top w:val="none" w:sz="0" w:space="0" w:color="auto"/>
            <w:left w:val="none" w:sz="0" w:space="0" w:color="auto"/>
            <w:bottom w:val="none" w:sz="0" w:space="0" w:color="auto"/>
            <w:right w:val="none" w:sz="0" w:space="0" w:color="auto"/>
          </w:divBdr>
        </w:div>
        <w:div w:id="494489948">
          <w:marLeft w:val="0"/>
          <w:marRight w:val="0"/>
          <w:marTop w:val="0"/>
          <w:marBottom w:val="0"/>
          <w:divBdr>
            <w:top w:val="none" w:sz="0" w:space="0" w:color="auto"/>
            <w:left w:val="none" w:sz="0" w:space="0" w:color="auto"/>
            <w:bottom w:val="none" w:sz="0" w:space="0" w:color="auto"/>
            <w:right w:val="none" w:sz="0" w:space="0" w:color="auto"/>
          </w:divBdr>
        </w:div>
      </w:divsChild>
    </w:div>
    <w:div w:id="1502622620">
      <w:bodyDiv w:val="1"/>
      <w:marLeft w:val="0"/>
      <w:marRight w:val="0"/>
      <w:marTop w:val="0"/>
      <w:marBottom w:val="0"/>
      <w:divBdr>
        <w:top w:val="none" w:sz="0" w:space="0" w:color="auto"/>
        <w:left w:val="none" w:sz="0" w:space="0" w:color="auto"/>
        <w:bottom w:val="none" w:sz="0" w:space="0" w:color="auto"/>
        <w:right w:val="none" w:sz="0" w:space="0" w:color="auto"/>
      </w:divBdr>
      <w:divsChild>
        <w:div w:id="393772194">
          <w:marLeft w:val="0"/>
          <w:marRight w:val="0"/>
          <w:marTop w:val="0"/>
          <w:marBottom w:val="0"/>
          <w:divBdr>
            <w:top w:val="none" w:sz="0" w:space="0" w:color="auto"/>
            <w:left w:val="none" w:sz="0" w:space="0" w:color="auto"/>
            <w:bottom w:val="none" w:sz="0" w:space="0" w:color="auto"/>
            <w:right w:val="none" w:sz="0" w:space="0" w:color="auto"/>
          </w:divBdr>
        </w:div>
        <w:div w:id="319694909">
          <w:marLeft w:val="0"/>
          <w:marRight w:val="0"/>
          <w:marTop w:val="0"/>
          <w:marBottom w:val="0"/>
          <w:divBdr>
            <w:top w:val="none" w:sz="0" w:space="0" w:color="auto"/>
            <w:left w:val="none" w:sz="0" w:space="0" w:color="auto"/>
            <w:bottom w:val="none" w:sz="0" w:space="0" w:color="auto"/>
            <w:right w:val="none" w:sz="0" w:space="0" w:color="auto"/>
          </w:divBdr>
        </w:div>
        <w:div w:id="1086731171">
          <w:marLeft w:val="0"/>
          <w:marRight w:val="0"/>
          <w:marTop w:val="0"/>
          <w:marBottom w:val="0"/>
          <w:divBdr>
            <w:top w:val="none" w:sz="0" w:space="0" w:color="auto"/>
            <w:left w:val="none" w:sz="0" w:space="0" w:color="auto"/>
            <w:bottom w:val="none" w:sz="0" w:space="0" w:color="auto"/>
            <w:right w:val="none" w:sz="0" w:space="0" w:color="auto"/>
          </w:divBdr>
        </w:div>
        <w:div w:id="204022432">
          <w:marLeft w:val="0"/>
          <w:marRight w:val="0"/>
          <w:marTop w:val="0"/>
          <w:marBottom w:val="0"/>
          <w:divBdr>
            <w:top w:val="none" w:sz="0" w:space="0" w:color="auto"/>
            <w:left w:val="none" w:sz="0" w:space="0" w:color="auto"/>
            <w:bottom w:val="none" w:sz="0" w:space="0" w:color="auto"/>
            <w:right w:val="none" w:sz="0" w:space="0" w:color="auto"/>
          </w:divBdr>
        </w:div>
        <w:div w:id="1931816945">
          <w:marLeft w:val="0"/>
          <w:marRight w:val="0"/>
          <w:marTop w:val="0"/>
          <w:marBottom w:val="0"/>
          <w:divBdr>
            <w:top w:val="none" w:sz="0" w:space="0" w:color="auto"/>
            <w:left w:val="none" w:sz="0" w:space="0" w:color="auto"/>
            <w:bottom w:val="none" w:sz="0" w:space="0" w:color="auto"/>
            <w:right w:val="none" w:sz="0" w:space="0" w:color="auto"/>
          </w:divBdr>
        </w:div>
        <w:div w:id="873888654">
          <w:marLeft w:val="0"/>
          <w:marRight w:val="0"/>
          <w:marTop w:val="0"/>
          <w:marBottom w:val="0"/>
          <w:divBdr>
            <w:top w:val="none" w:sz="0" w:space="0" w:color="auto"/>
            <w:left w:val="none" w:sz="0" w:space="0" w:color="auto"/>
            <w:bottom w:val="none" w:sz="0" w:space="0" w:color="auto"/>
            <w:right w:val="none" w:sz="0" w:space="0" w:color="auto"/>
          </w:divBdr>
        </w:div>
        <w:div w:id="889263619">
          <w:marLeft w:val="0"/>
          <w:marRight w:val="0"/>
          <w:marTop w:val="0"/>
          <w:marBottom w:val="0"/>
          <w:divBdr>
            <w:top w:val="none" w:sz="0" w:space="0" w:color="auto"/>
            <w:left w:val="none" w:sz="0" w:space="0" w:color="auto"/>
            <w:bottom w:val="none" w:sz="0" w:space="0" w:color="auto"/>
            <w:right w:val="none" w:sz="0" w:space="0" w:color="auto"/>
          </w:divBdr>
        </w:div>
        <w:div w:id="1913394003">
          <w:marLeft w:val="0"/>
          <w:marRight w:val="0"/>
          <w:marTop w:val="0"/>
          <w:marBottom w:val="0"/>
          <w:divBdr>
            <w:top w:val="none" w:sz="0" w:space="0" w:color="auto"/>
            <w:left w:val="none" w:sz="0" w:space="0" w:color="auto"/>
            <w:bottom w:val="none" w:sz="0" w:space="0" w:color="auto"/>
            <w:right w:val="none" w:sz="0" w:space="0" w:color="auto"/>
          </w:divBdr>
        </w:div>
        <w:div w:id="1382486477">
          <w:marLeft w:val="0"/>
          <w:marRight w:val="0"/>
          <w:marTop w:val="0"/>
          <w:marBottom w:val="0"/>
          <w:divBdr>
            <w:top w:val="none" w:sz="0" w:space="0" w:color="auto"/>
            <w:left w:val="none" w:sz="0" w:space="0" w:color="auto"/>
            <w:bottom w:val="none" w:sz="0" w:space="0" w:color="auto"/>
            <w:right w:val="none" w:sz="0" w:space="0" w:color="auto"/>
          </w:divBdr>
        </w:div>
        <w:div w:id="1951160761">
          <w:marLeft w:val="0"/>
          <w:marRight w:val="0"/>
          <w:marTop w:val="0"/>
          <w:marBottom w:val="0"/>
          <w:divBdr>
            <w:top w:val="none" w:sz="0" w:space="0" w:color="auto"/>
            <w:left w:val="none" w:sz="0" w:space="0" w:color="auto"/>
            <w:bottom w:val="none" w:sz="0" w:space="0" w:color="auto"/>
            <w:right w:val="none" w:sz="0" w:space="0" w:color="auto"/>
          </w:divBdr>
        </w:div>
        <w:div w:id="531915387">
          <w:marLeft w:val="0"/>
          <w:marRight w:val="0"/>
          <w:marTop w:val="0"/>
          <w:marBottom w:val="0"/>
          <w:divBdr>
            <w:top w:val="none" w:sz="0" w:space="0" w:color="auto"/>
            <w:left w:val="none" w:sz="0" w:space="0" w:color="auto"/>
            <w:bottom w:val="none" w:sz="0" w:space="0" w:color="auto"/>
            <w:right w:val="none" w:sz="0" w:space="0" w:color="auto"/>
          </w:divBdr>
        </w:div>
        <w:div w:id="535658183">
          <w:marLeft w:val="0"/>
          <w:marRight w:val="0"/>
          <w:marTop w:val="0"/>
          <w:marBottom w:val="0"/>
          <w:divBdr>
            <w:top w:val="none" w:sz="0" w:space="0" w:color="auto"/>
            <w:left w:val="none" w:sz="0" w:space="0" w:color="auto"/>
            <w:bottom w:val="none" w:sz="0" w:space="0" w:color="auto"/>
            <w:right w:val="none" w:sz="0" w:space="0" w:color="auto"/>
          </w:divBdr>
        </w:div>
        <w:div w:id="1453523682">
          <w:marLeft w:val="0"/>
          <w:marRight w:val="0"/>
          <w:marTop w:val="0"/>
          <w:marBottom w:val="0"/>
          <w:divBdr>
            <w:top w:val="none" w:sz="0" w:space="0" w:color="auto"/>
            <w:left w:val="none" w:sz="0" w:space="0" w:color="auto"/>
            <w:bottom w:val="none" w:sz="0" w:space="0" w:color="auto"/>
            <w:right w:val="none" w:sz="0" w:space="0" w:color="auto"/>
          </w:divBdr>
        </w:div>
        <w:div w:id="869950394">
          <w:marLeft w:val="0"/>
          <w:marRight w:val="0"/>
          <w:marTop w:val="0"/>
          <w:marBottom w:val="0"/>
          <w:divBdr>
            <w:top w:val="none" w:sz="0" w:space="0" w:color="auto"/>
            <w:left w:val="none" w:sz="0" w:space="0" w:color="auto"/>
            <w:bottom w:val="none" w:sz="0" w:space="0" w:color="auto"/>
            <w:right w:val="none" w:sz="0" w:space="0" w:color="auto"/>
          </w:divBdr>
        </w:div>
        <w:div w:id="2082025006">
          <w:marLeft w:val="0"/>
          <w:marRight w:val="0"/>
          <w:marTop w:val="0"/>
          <w:marBottom w:val="0"/>
          <w:divBdr>
            <w:top w:val="none" w:sz="0" w:space="0" w:color="auto"/>
            <w:left w:val="none" w:sz="0" w:space="0" w:color="auto"/>
            <w:bottom w:val="none" w:sz="0" w:space="0" w:color="auto"/>
            <w:right w:val="none" w:sz="0" w:space="0" w:color="auto"/>
          </w:divBdr>
        </w:div>
        <w:div w:id="1064134808">
          <w:marLeft w:val="0"/>
          <w:marRight w:val="0"/>
          <w:marTop w:val="0"/>
          <w:marBottom w:val="0"/>
          <w:divBdr>
            <w:top w:val="none" w:sz="0" w:space="0" w:color="auto"/>
            <w:left w:val="none" w:sz="0" w:space="0" w:color="auto"/>
            <w:bottom w:val="none" w:sz="0" w:space="0" w:color="auto"/>
            <w:right w:val="none" w:sz="0" w:space="0" w:color="auto"/>
          </w:divBdr>
        </w:div>
        <w:div w:id="746536915">
          <w:marLeft w:val="0"/>
          <w:marRight w:val="0"/>
          <w:marTop w:val="0"/>
          <w:marBottom w:val="0"/>
          <w:divBdr>
            <w:top w:val="none" w:sz="0" w:space="0" w:color="auto"/>
            <w:left w:val="none" w:sz="0" w:space="0" w:color="auto"/>
            <w:bottom w:val="none" w:sz="0" w:space="0" w:color="auto"/>
            <w:right w:val="none" w:sz="0" w:space="0" w:color="auto"/>
          </w:divBdr>
        </w:div>
        <w:div w:id="209461325">
          <w:marLeft w:val="0"/>
          <w:marRight w:val="0"/>
          <w:marTop w:val="0"/>
          <w:marBottom w:val="0"/>
          <w:divBdr>
            <w:top w:val="none" w:sz="0" w:space="0" w:color="auto"/>
            <w:left w:val="none" w:sz="0" w:space="0" w:color="auto"/>
            <w:bottom w:val="none" w:sz="0" w:space="0" w:color="auto"/>
            <w:right w:val="none" w:sz="0" w:space="0" w:color="auto"/>
          </w:divBdr>
        </w:div>
        <w:div w:id="1181435094">
          <w:marLeft w:val="0"/>
          <w:marRight w:val="0"/>
          <w:marTop w:val="0"/>
          <w:marBottom w:val="0"/>
          <w:divBdr>
            <w:top w:val="none" w:sz="0" w:space="0" w:color="auto"/>
            <w:left w:val="none" w:sz="0" w:space="0" w:color="auto"/>
            <w:bottom w:val="none" w:sz="0" w:space="0" w:color="auto"/>
            <w:right w:val="none" w:sz="0" w:space="0" w:color="auto"/>
          </w:divBdr>
        </w:div>
        <w:div w:id="1554273830">
          <w:marLeft w:val="0"/>
          <w:marRight w:val="0"/>
          <w:marTop w:val="0"/>
          <w:marBottom w:val="0"/>
          <w:divBdr>
            <w:top w:val="none" w:sz="0" w:space="0" w:color="auto"/>
            <w:left w:val="none" w:sz="0" w:space="0" w:color="auto"/>
            <w:bottom w:val="none" w:sz="0" w:space="0" w:color="auto"/>
            <w:right w:val="none" w:sz="0" w:space="0" w:color="auto"/>
          </w:divBdr>
        </w:div>
        <w:div w:id="290284432">
          <w:marLeft w:val="0"/>
          <w:marRight w:val="0"/>
          <w:marTop w:val="0"/>
          <w:marBottom w:val="0"/>
          <w:divBdr>
            <w:top w:val="none" w:sz="0" w:space="0" w:color="auto"/>
            <w:left w:val="none" w:sz="0" w:space="0" w:color="auto"/>
            <w:bottom w:val="none" w:sz="0" w:space="0" w:color="auto"/>
            <w:right w:val="none" w:sz="0" w:space="0" w:color="auto"/>
          </w:divBdr>
        </w:div>
        <w:div w:id="760444335">
          <w:marLeft w:val="0"/>
          <w:marRight w:val="0"/>
          <w:marTop w:val="0"/>
          <w:marBottom w:val="0"/>
          <w:divBdr>
            <w:top w:val="none" w:sz="0" w:space="0" w:color="auto"/>
            <w:left w:val="none" w:sz="0" w:space="0" w:color="auto"/>
            <w:bottom w:val="none" w:sz="0" w:space="0" w:color="auto"/>
            <w:right w:val="none" w:sz="0" w:space="0" w:color="auto"/>
          </w:divBdr>
        </w:div>
      </w:divsChild>
    </w:div>
    <w:div w:id="1576669001">
      <w:bodyDiv w:val="1"/>
      <w:marLeft w:val="0"/>
      <w:marRight w:val="0"/>
      <w:marTop w:val="0"/>
      <w:marBottom w:val="0"/>
      <w:divBdr>
        <w:top w:val="none" w:sz="0" w:space="0" w:color="auto"/>
        <w:left w:val="none" w:sz="0" w:space="0" w:color="auto"/>
        <w:bottom w:val="none" w:sz="0" w:space="0" w:color="auto"/>
        <w:right w:val="none" w:sz="0" w:space="0" w:color="auto"/>
      </w:divBdr>
    </w:div>
    <w:div w:id="1768036611">
      <w:bodyDiv w:val="1"/>
      <w:marLeft w:val="0"/>
      <w:marRight w:val="0"/>
      <w:marTop w:val="0"/>
      <w:marBottom w:val="0"/>
      <w:divBdr>
        <w:top w:val="none" w:sz="0" w:space="0" w:color="auto"/>
        <w:left w:val="none" w:sz="0" w:space="0" w:color="auto"/>
        <w:bottom w:val="none" w:sz="0" w:space="0" w:color="auto"/>
        <w:right w:val="none" w:sz="0" w:space="0" w:color="auto"/>
      </w:divBdr>
      <w:divsChild>
        <w:div w:id="1376810570">
          <w:marLeft w:val="0"/>
          <w:marRight w:val="0"/>
          <w:marTop w:val="0"/>
          <w:marBottom w:val="0"/>
          <w:divBdr>
            <w:top w:val="none" w:sz="0" w:space="0" w:color="auto"/>
            <w:left w:val="none" w:sz="0" w:space="0" w:color="auto"/>
            <w:bottom w:val="none" w:sz="0" w:space="0" w:color="auto"/>
            <w:right w:val="none" w:sz="0" w:space="0" w:color="auto"/>
          </w:divBdr>
        </w:div>
        <w:div w:id="321663022">
          <w:marLeft w:val="0"/>
          <w:marRight w:val="0"/>
          <w:marTop w:val="0"/>
          <w:marBottom w:val="0"/>
          <w:divBdr>
            <w:top w:val="none" w:sz="0" w:space="0" w:color="auto"/>
            <w:left w:val="none" w:sz="0" w:space="0" w:color="auto"/>
            <w:bottom w:val="none" w:sz="0" w:space="0" w:color="auto"/>
            <w:right w:val="none" w:sz="0" w:space="0" w:color="auto"/>
          </w:divBdr>
        </w:div>
        <w:div w:id="1483740435">
          <w:marLeft w:val="0"/>
          <w:marRight w:val="0"/>
          <w:marTop w:val="0"/>
          <w:marBottom w:val="0"/>
          <w:divBdr>
            <w:top w:val="none" w:sz="0" w:space="0" w:color="auto"/>
            <w:left w:val="none" w:sz="0" w:space="0" w:color="auto"/>
            <w:bottom w:val="none" w:sz="0" w:space="0" w:color="auto"/>
            <w:right w:val="none" w:sz="0" w:space="0" w:color="auto"/>
          </w:divBdr>
        </w:div>
        <w:div w:id="400638907">
          <w:marLeft w:val="0"/>
          <w:marRight w:val="0"/>
          <w:marTop w:val="0"/>
          <w:marBottom w:val="0"/>
          <w:divBdr>
            <w:top w:val="none" w:sz="0" w:space="0" w:color="auto"/>
            <w:left w:val="none" w:sz="0" w:space="0" w:color="auto"/>
            <w:bottom w:val="none" w:sz="0" w:space="0" w:color="auto"/>
            <w:right w:val="none" w:sz="0" w:space="0" w:color="auto"/>
          </w:divBdr>
        </w:div>
        <w:div w:id="1839343490">
          <w:marLeft w:val="0"/>
          <w:marRight w:val="0"/>
          <w:marTop w:val="0"/>
          <w:marBottom w:val="0"/>
          <w:divBdr>
            <w:top w:val="none" w:sz="0" w:space="0" w:color="auto"/>
            <w:left w:val="none" w:sz="0" w:space="0" w:color="auto"/>
            <w:bottom w:val="none" w:sz="0" w:space="0" w:color="auto"/>
            <w:right w:val="none" w:sz="0" w:space="0" w:color="auto"/>
          </w:divBdr>
        </w:div>
        <w:div w:id="1171485121">
          <w:marLeft w:val="0"/>
          <w:marRight w:val="0"/>
          <w:marTop w:val="0"/>
          <w:marBottom w:val="0"/>
          <w:divBdr>
            <w:top w:val="none" w:sz="0" w:space="0" w:color="auto"/>
            <w:left w:val="none" w:sz="0" w:space="0" w:color="auto"/>
            <w:bottom w:val="none" w:sz="0" w:space="0" w:color="auto"/>
            <w:right w:val="none" w:sz="0" w:space="0" w:color="auto"/>
          </w:divBdr>
        </w:div>
        <w:div w:id="368800112">
          <w:marLeft w:val="0"/>
          <w:marRight w:val="0"/>
          <w:marTop w:val="0"/>
          <w:marBottom w:val="0"/>
          <w:divBdr>
            <w:top w:val="none" w:sz="0" w:space="0" w:color="auto"/>
            <w:left w:val="none" w:sz="0" w:space="0" w:color="auto"/>
            <w:bottom w:val="none" w:sz="0" w:space="0" w:color="auto"/>
            <w:right w:val="none" w:sz="0" w:space="0" w:color="auto"/>
          </w:divBdr>
        </w:div>
        <w:div w:id="1850480978">
          <w:marLeft w:val="0"/>
          <w:marRight w:val="0"/>
          <w:marTop w:val="0"/>
          <w:marBottom w:val="0"/>
          <w:divBdr>
            <w:top w:val="none" w:sz="0" w:space="0" w:color="auto"/>
            <w:left w:val="none" w:sz="0" w:space="0" w:color="auto"/>
            <w:bottom w:val="none" w:sz="0" w:space="0" w:color="auto"/>
            <w:right w:val="none" w:sz="0" w:space="0" w:color="auto"/>
          </w:divBdr>
        </w:div>
        <w:div w:id="1938635297">
          <w:marLeft w:val="0"/>
          <w:marRight w:val="0"/>
          <w:marTop w:val="0"/>
          <w:marBottom w:val="0"/>
          <w:divBdr>
            <w:top w:val="none" w:sz="0" w:space="0" w:color="auto"/>
            <w:left w:val="none" w:sz="0" w:space="0" w:color="auto"/>
            <w:bottom w:val="none" w:sz="0" w:space="0" w:color="auto"/>
            <w:right w:val="none" w:sz="0" w:space="0" w:color="auto"/>
          </w:divBdr>
        </w:div>
        <w:div w:id="197279214">
          <w:marLeft w:val="0"/>
          <w:marRight w:val="0"/>
          <w:marTop w:val="0"/>
          <w:marBottom w:val="0"/>
          <w:divBdr>
            <w:top w:val="none" w:sz="0" w:space="0" w:color="auto"/>
            <w:left w:val="none" w:sz="0" w:space="0" w:color="auto"/>
            <w:bottom w:val="none" w:sz="0" w:space="0" w:color="auto"/>
            <w:right w:val="none" w:sz="0" w:space="0" w:color="auto"/>
          </w:divBdr>
        </w:div>
        <w:div w:id="2074618465">
          <w:marLeft w:val="0"/>
          <w:marRight w:val="0"/>
          <w:marTop w:val="0"/>
          <w:marBottom w:val="0"/>
          <w:divBdr>
            <w:top w:val="none" w:sz="0" w:space="0" w:color="auto"/>
            <w:left w:val="none" w:sz="0" w:space="0" w:color="auto"/>
            <w:bottom w:val="none" w:sz="0" w:space="0" w:color="auto"/>
            <w:right w:val="none" w:sz="0" w:space="0" w:color="auto"/>
          </w:divBdr>
        </w:div>
      </w:divsChild>
    </w:div>
    <w:div w:id="1925449695">
      <w:bodyDiv w:val="1"/>
      <w:marLeft w:val="0"/>
      <w:marRight w:val="0"/>
      <w:marTop w:val="0"/>
      <w:marBottom w:val="0"/>
      <w:divBdr>
        <w:top w:val="none" w:sz="0" w:space="0" w:color="auto"/>
        <w:left w:val="none" w:sz="0" w:space="0" w:color="auto"/>
        <w:bottom w:val="none" w:sz="0" w:space="0" w:color="auto"/>
        <w:right w:val="none" w:sz="0" w:space="0" w:color="auto"/>
      </w:divBdr>
    </w:div>
    <w:div w:id="2017419227">
      <w:bodyDiv w:val="1"/>
      <w:marLeft w:val="0"/>
      <w:marRight w:val="0"/>
      <w:marTop w:val="0"/>
      <w:marBottom w:val="0"/>
      <w:divBdr>
        <w:top w:val="none" w:sz="0" w:space="0" w:color="auto"/>
        <w:left w:val="none" w:sz="0" w:space="0" w:color="auto"/>
        <w:bottom w:val="none" w:sz="0" w:space="0" w:color="auto"/>
        <w:right w:val="none" w:sz="0" w:space="0" w:color="auto"/>
      </w:divBdr>
      <w:divsChild>
        <w:div w:id="862980816">
          <w:marLeft w:val="0"/>
          <w:marRight w:val="0"/>
          <w:marTop w:val="0"/>
          <w:marBottom w:val="0"/>
          <w:divBdr>
            <w:top w:val="none" w:sz="0" w:space="0" w:color="auto"/>
            <w:left w:val="none" w:sz="0" w:space="0" w:color="auto"/>
            <w:bottom w:val="none" w:sz="0" w:space="0" w:color="auto"/>
            <w:right w:val="none" w:sz="0" w:space="0" w:color="auto"/>
          </w:divBdr>
        </w:div>
        <w:div w:id="1472551974">
          <w:marLeft w:val="0"/>
          <w:marRight w:val="0"/>
          <w:marTop w:val="0"/>
          <w:marBottom w:val="0"/>
          <w:divBdr>
            <w:top w:val="none" w:sz="0" w:space="0" w:color="auto"/>
            <w:left w:val="none" w:sz="0" w:space="0" w:color="auto"/>
            <w:bottom w:val="none" w:sz="0" w:space="0" w:color="auto"/>
            <w:right w:val="none" w:sz="0" w:space="0" w:color="auto"/>
          </w:divBdr>
        </w:div>
        <w:div w:id="1205485620">
          <w:marLeft w:val="0"/>
          <w:marRight w:val="0"/>
          <w:marTop w:val="0"/>
          <w:marBottom w:val="0"/>
          <w:divBdr>
            <w:top w:val="none" w:sz="0" w:space="0" w:color="auto"/>
            <w:left w:val="none" w:sz="0" w:space="0" w:color="auto"/>
            <w:bottom w:val="none" w:sz="0" w:space="0" w:color="auto"/>
            <w:right w:val="none" w:sz="0" w:space="0" w:color="auto"/>
          </w:divBdr>
        </w:div>
        <w:div w:id="574898464">
          <w:marLeft w:val="0"/>
          <w:marRight w:val="0"/>
          <w:marTop w:val="0"/>
          <w:marBottom w:val="0"/>
          <w:divBdr>
            <w:top w:val="none" w:sz="0" w:space="0" w:color="auto"/>
            <w:left w:val="none" w:sz="0" w:space="0" w:color="auto"/>
            <w:bottom w:val="none" w:sz="0" w:space="0" w:color="auto"/>
            <w:right w:val="none" w:sz="0" w:space="0" w:color="auto"/>
          </w:divBdr>
        </w:div>
        <w:div w:id="2075858146">
          <w:marLeft w:val="0"/>
          <w:marRight w:val="0"/>
          <w:marTop w:val="0"/>
          <w:marBottom w:val="0"/>
          <w:divBdr>
            <w:top w:val="none" w:sz="0" w:space="0" w:color="auto"/>
            <w:left w:val="none" w:sz="0" w:space="0" w:color="auto"/>
            <w:bottom w:val="none" w:sz="0" w:space="0" w:color="auto"/>
            <w:right w:val="none" w:sz="0" w:space="0" w:color="auto"/>
          </w:divBdr>
        </w:div>
        <w:div w:id="503128701">
          <w:marLeft w:val="0"/>
          <w:marRight w:val="0"/>
          <w:marTop w:val="0"/>
          <w:marBottom w:val="0"/>
          <w:divBdr>
            <w:top w:val="none" w:sz="0" w:space="0" w:color="auto"/>
            <w:left w:val="none" w:sz="0" w:space="0" w:color="auto"/>
            <w:bottom w:val="none" w:sz="0" w:space="0" w:color="auto"/>
            <w:right w:val="none" w:sz="0" w:space="0" w:color="auto"/>
          </w:divBdr>
        </w:div>
        <w:div w:id="928780848">
          <w:marLeft w:val="0"/>
          <w:marRight w:val="0"/>
          <w:marTop w:val="0"/>
          <w:marBottom w:val="0"/>
          <w:divBdr>
            <w:top w:val="none" w:sz="0" w:space="0" w:color="auto"/>
            <w:left w:val="none" w:sz="0" w:space="0" w:color="auto"/>
            <w:bottom w:val="none" w:sz="0" w:space="0" w:color="auto"/>
            <w:right w:val="none" w:sz="0" w:space="0" w:color="auto"/>
          </w:divBdr>
        </w:div>
        <w:div w:id="1112165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3B9F-18F2-40C3-859C-678635D3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4280</Words>
  <Characters>25680</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MR. Reszeta</dc:creator>
  <cp:lastModifiedBy>Użytkownik systemu Windows</cp:lastModifiedBy>
  <cp:revision>10</cp:revision>
  <dcterms:created xsi:type="dcterms:W3CDTF">2017-02-09T11:21:00Z</dcterms:created>
  <dcterms:modified xsi:type="dcterms:W3CDTF">2017-09-22T13:23:00Z</dcterms:modified>
</cp:coreProperties>
</file>