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14170" w:type="dxa"/>
        <w:tblLayout w:type="fixed"/>
        <w:tblLook w:val="04A0" w:firstRow="1" w:lastRow="0" w:firstColumn="1" w:lastColumn="0" w:noHBand="0" w:noVBand="1"/>
      </w:tblPr>
      <w:tblGrid>
        <w:gridCol w:w="1892"/>
        <w:gridCol w:w="12216"/>
        <w:gridCol w:w="62"/>
      </w:tblGrid>
      <w:tr w:rsidR="00C778F1" w:rsidRPr="00C778F1" w:rsidTr="000D0717">
        <w:tc>
          <w:tcPr>
            <w:tcW w:w="1892" w:type="dxa"/>
            <w:shd w:val="clear" w:color="auto" w:fill="B6DDE8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Oś priorytetowa</w:t>
            </w:r>
          </w:p>
        </w:tc>
        <w:tc>
          <w:tcPr>
            <w:tcW w:w="12278" w:type="dxa"/>
            <w:gridSpan w:val="2"/>
            <w:shd w:val="clear" w:color="auto" w:fill="B6DDE8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III Ochrona środowiska i adaptacja do zmian klimatu </w:t>
            </w:r>
          </w:p>
        </w:tc>
      </w:tr>
      <w:tr w:rsidR="00C778F1" w:rsidRPr="00C778F1" w:rsidTr="000D0717">
        <w:trPr>
          <w:gridAfter w:val="1"/>
          <w:wAfter w:w="62" w:type="dxa"/>
        </w:trPr>
        <w:tc>
          <w:tcPr>
            <w:tcW w:w="1892" w:type="dxa"/>
            <w:shd w:val="clear" w:color="auto" w:fill="B6DDE8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Priorytet inwestycyjny</w:t>
            </w:r>
          </w:p>
        </w:tc>
        <w:tc>
          <w:tcPr>
            <w:tcW w:w="12216" w:type="dxa"/>
            <w:shd w:val="clear" w:color="auto" w:fill="B6DDE8"/>
          </w:tcPr>
          <w:p w:rsidR="00C778F1" w:rsidRPr="00C778F1" w:rsidRDefault="00C778F1" w:rsidP="00C778F1">
            <w:pPr>
              <w:spacing w:before="40" w:after="40"/>
              <w:jc w:val="both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6b: Inwestowanie w sektor gospodarki wodnej celem wypełnienia zobowiązań określonych w dorobku prawnym Unii w zakresie środowiska oraz zaspokojenia wykraczających poza te zobowiązania potrzeb inwestycyjnych, określonych przez państwa członkowskie</w:t>
            </w:r>
          </w:p>
        </w:tc>
      </w:tr>
      <w:tr w:rsidR="00C778F1" w:rsidRPr="00C778F1" w:rsidTr="000D0717">
        <w:trPr>
          <w:gridAfter w:val="1"/>
          <w:wAfter w:w="62" w:type="dxa"/>
        </w:trPr>
        <w:tc>
          <w:tcPr>
            <w:tcW w:w="1892" w:type="dxa"/>
            <w:shd w:val="clear" w:color="auto" w:fill="B6DDE8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Działanie </w:t>
            </w:r>
          </w:p>
        </w:tc>
        <w:tc>
          <w:tcPr>
            <w:tcW w:w="12216" w:type="dxa"/>
            <w:shd w:val="clear" w:color="auto" w:fill="B6DDE8"/>
          </w:tcPr>
          <w:p w:rsidR="00C778F1" w:rsidRPr="00C778F1" w:rsidRDefault="00C778F1" w:rsidP="00C778F1">
            <w:pPr>
              <w:outlineLvl w:val="1"/>
              <w:rPr>
                <w:rFonts w:ascii="Myriad Pro" w:eastAsia="Calibri" w:hAnsi="Myriad Pro" w:cs="Times New Roman"/>
                <w:sz w:val="20"/>
                <w:szCs w:val="20"/>
              </w:rPr>
            </w:pPr>
            <w:bookmarkStart w:id="0" w:name="_Toc459969531"/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3.6 Wsparcie rozwoju systemów oczyszczania ścieków</w:t>
            </w:r>
            <w:bookmarkEnd w:id="0"/>
          </w:p>
        </w:tc>
      </w:tr>
    </w:tbl>
    <w:p w:rsidR="00C778F1" w:rsidRPr="00C778F1" w:rsidRDefault="00C778F1" w:rsidP="00C778F1">
      <w:pPr>
        <w:rPr>
          <w:rFonts w:ascii="Myriad Pro" w:hAnsi="Myriad Pro"/>
          <w:sz w:val="20"/>
          <w:szCs w:val="20"/>
        </w:rPr>
      </w:pPr>
      <w:bookmarkStart w:id="1" w:name="_GoBack"/>
    </w:p>
    <w:tbl>
      <w:tblPr>
        <w:tblStyle w:val="Tabela-Siatka1"/>
        <w:tblW w:w="4823" w:type="pct"/>
        <w:tblLayout w:type="fixed"/>
        <w:tblLook w:val="04A0" w:firstRow="1" w:lastRow="0" w:firstColumn="1" w:lastColumn="0" w:noHBand="0" w:noVBand="1"/>
      </w:tblPr>
      <w:tblGrid>
        <w:gridCol w:w="675"/>
        <w:gridCol w:w="1698"/>
        <w:gridCol w:w="6806"/>
        <w:gridCol w:w="4538"/>
      </w:tblGrid>
      <w:tr w:rsidR="00C778F1" w:rsidRPr="00C778F1" w:rsidTr="000D0717">
        <w:trPr>
          <w:tblHeader/>
        </w:trPr>
        <w:tc>
          <w:tcPr>
            <w:tcW w:w="5000" w:type="pct"/>
            <w:gridSpan w:val="4"/>
            <w:shd w:val="clear" w:color="auto" w:fill="D9D9D9"/>
          </w:tcPr>
          <w:bookmarkEnd w:id="1"/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b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b/>
                <w:sz w:val="20"/>
                <w:szCs w:val="20"/>
              </w:rPr>
              <w:t>Kryteria dopuszczalności</w:t>
            </w:r>
          </w:p>
        </w:tc>
      </w:tr>
      <w:tr w:rsidR="00C778F1" w:rsidRPr="00C778F1" w:rsidTr="000D0717">
        <w:trPr>
          <w:tblHeader/>
        </w:trPr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L.p.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Nazwa kryterium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Definicja kryterium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Opis znaczenia kryterium</w:t>
            </w:r>
          </w:p>
        </w:tc>
      </w:tr>
      <w:tr w:rsidR="00C778F1" w:rsidRPr="00C778F1" w:rsidTr="000D0717">
        <w:trPr>
          <w:tblHeader/>
        </w:trPr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3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4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1.1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Zgodność z celem szczegółowym i rezultatami priorytetu inwestycyjnego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Projekt jest zgodny z celem działania oraz wpływa na osiągnięcie wskaźników rezultatu określonych w SOOP.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1.2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Zgodność z typami projektów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Projekt jest zgodny z typami projektów wskazanymi w SOOP. Opis projektu wskazuje na zgodność ze wskazanym przez Wnioskodawcę typem projektu.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Charakter przewidywanych działań, wskaźniki produktu, wydatki kwalifikowalne dają pewność, że mamy do czynienia z typem projektu zaplanowanym do wsparcia w ramach działania 3.6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1.3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Terminowość złożenia wniosku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hAnsi="Myriad Pro" w:cs="Arial"/>
                <w:sz w:val="20"/>
                <w:szCs w:val="20"/>
              </w:rPr>
              <w:t>Wniosek złożono w terminie określonym w ogłoszeniu o konkursie.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1.4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hAnsi="Myriad Pro" w:cs="Arial"/>
                <w:sz w:val="20"/>
                <w:szCs w:val="20"/>
              </w:rPr>
              <w:t>Kwalifikowalność  Beneficjenta</w:t>
            </w:r>
            <w:r w:rsidRPr="00C778F1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rPr>
                <w:rFonts w:ascii="Myriad Pro" w:hAnsi="Myriad Pro" w:cs="Arial"/>
                <w:sz w:val="20"/>
                <w:szCs w:val="20"/>
              </w:rPr>
            </w:pPr>
            <w:r w:rsidRPr="00C778F1">
              <w:rPr>
                <w:rFonts w:ascii="Myriad Pro" w:hAnsi="Myriad Pro" w:cs="Arial"/>
                <w:sz w:val="20"/>
                <w:szCs w:val="20"/>
              </w:rPr>
              <w:t>Wnioskodawca należy do kategorii wnioskodawców uprawnionych do ubiegania się o dofinansowanie (wymienionych w regulaminie konkursu).</w:t>
            </w:r>
          </w:p>
          <w:p w:rsidR="00C778F1" w:rsidRPr="00C778F1" w:rsidRDefault="00C778F1" w:rsidP="00C778F1">
            <w:pPr>
              <w:rPr>
                <w:rFonts w:ascii="Myriad Pro" w:hAnsi="Myriad Pro" w:cs="Arial"/>
                <w:sz w:val="20"/>
                <w:szCs w:val="20"/>
              </w:rPr>
            </w:pPr>
            <w:r w:rsidRPr="00C778F1">
              <w:rPr>
                <w:rFonts w:ascii="Myriad Pro" w:hAnsi="Myriad Pro" w:cs="Arial"/>
                <w:sz w:val="20"/>
                <w:szCs w:val="20"/>
              </w:rPr>
              <w:t>Wnioskodawca nie jest wykluczony z dofinansowania przynajmniej na podstawie wskazanych w Wytycznych MIR przepisów:</w:t>
            </w:r>
          </w:p>
          <w:p w:rsidR="00C778F1" w:rsidRPr="00C778F1" w:rsidRDefault="00C778F1" w:rsidP="00C778F1">
            <w:pPr>
              <w:rPr>
                <w:rFonts w:ascii="Myriad Pro" w:hAnsi="Myriad Pro" w:cs="Arial"/>
                <w:sz w:val="20"/>
                <w:szCs w:val="20"/>
              </w:rPr>
            </w:pPr>
            <w:r w:rsidRPr="00C778F1">
              <w:rPr>
                <w:rFonts w:ascii="Myriad Pro" w:hAnsi="Myriad Pro" w:cs="Arial"/>
                <w:sz w:val="20"/>
                <w:szCs w:val="20"/>
              </w:rPr>
              <w:t xml:space="preserve">a) art. 207 ust. 4 ustawy z dnia 27 sierpnia 2009 r. o finansach publicznych (tj. Dz. U. 2013 r. poz. 885 z </w:t>
            </w:r>
            <w:proofErr w:type="spellStart"/>
            <w:r w:rsidRPr="00C778F1">
              <w:rPr>
                <w:rFonts w:ascii="Myriad Pro" w:hAnsi="Myriad Pro" w:cs="Arial"/>
                <w:sz w:val="20"/>
                <w:szCs w:val="20"/>
              </w:rPr>
              <w:t>późn</w:t>
            </w:r>
            <w:proofErr w:type="spellEnd"/>
            <w:r w:rsidRPr="00C778F1">
              <w:rPr>
                <w:rFonts w:ascii="Myriad Pro" w:hAnsi="Myriad Pro" w:cs="Arial"/>
                <w:sz w:val="20"/>
                <w:szCs w:val="20"/>
              </w:rPr>
              <w:t>. zm.);</w:t>
            </w:r>
          </w:p>
          <w:p w:rsidR="00C778F1" w:rsidRPr="00C778F1" w:rsidRDefault="00C778F1" w:rsidP="00C778F1">
            <w:pPr>
              <w:rPr>
                <w:rFonts w:ascii="Myriad Pro" w:hAnsi="Myriad Pro" w:cs="Arial"/>
                <w:sz w:val="20"/>
                <w:szCs w:val="20"/>
              </w:rPr>
            </w:pPr>
            <w:r w:rsidRPr="00C778F1">
              <w:rPr>
                <w:rFonts w:ascii="Myriad Pro" w:hAnsi="Myriad Pro" w:cs="Arial"/>
                <w:sz w:val="20"/>
                <w:szCs w:val="20"/>
              </w:rPr>
              <w:t xml:space="preserve">b) art. 12 ust. 1 pkt 1 ustawy z dnia 15 czerwca 2012 r. o skutkach powierzania wykonywania pracy cudzoziemcom przebywającym wbrew przepisom na </w:t>
            </w:r>
            <w:r w:rsidRPr="00C778F1">
              <w:rPr>
                <w:rFonts w:ascii="Myriad Pro" w:hAnsi="Myriad Pro" w:cs="Arial"/>
                <w:sz w:val="20"/>
                <w:szCs w:val="20"/>
              </w:rPr>
              <w:lastRenderedPageBreak/>
              <w:t>terytorium Rzeczypospolitej Polskiej (Dz. U. poz. 769);</w:t>
            </w:r>
          </w:p>
          <w:p w:rsidR="00C778F1" w:rsidRPr="00C778F1" w:rsidRDefault="00C778F1" w:rsidP="00C778F1">
            <w:pPr>
              <w:rPr>
                <w:rFonts w:ascii="Myriad Pro" w:hAnsi="Myriad Pro" w:cs="Arial"/>
                <w:sz w:val="20"/>
                <w:szCs w:val="20"/>
              </w:rPr>
            </w:pPr>
            <w:r w:rsidRPr="00C778F1">
              <w:rPr>
                <w:rFonts w:ascii="Myriad Pro" w:hAnsi="Myriad Pro" w:cs="Arial"/>
                <w:sz w:val="20"/>
                <w:szCs w:val="20"/>
              </w:rPr>
              <w:t xml:space="preserve">c) art. 9 ust. 1 pkt 2a ustawy z dnia 28 października 2002 r. o odpowiedzialności podmiotów zbiorowych za czyny zabronione pod groźbą kary (tj. Dz. U. 2012 r. poz.768 z </w:t>
            </w:r>
            <w:proofErr w:type="spellStart"/>
            <w:r w:rsidRPr="00C778F1">
              <w:rPr>
                <w:rFonts w:ascii="Myriad Pro" w:hAnsi="Myriad Pro" w:cs="Arial"/>
                <w:sz w:val="20"/>
                <w:szCs w:val="20"/>
              </w:rPr>
              <w:t>późn</w:t>
            </w:r>
            <w:proofErr w:type="spellEnd"/>
            <w:r w:rsidRPr="00C778F1">
              <w:rPr>
                <w:rFonts w:ascii="Myriad Pro" w:hAnsi="Myriad Pro" w:cs="Arial"/>
                <w:sz w:val="20"/>
                <w:szCs w:val="20"/>
              </w:rPr>
              <w:t>. zm.).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1.5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Zgodność z wymogami pomocy publicznej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Wsparcie na rzecz projektu nie stanowi pomocy państwa w rozumieniu art. 107 </w:t>
            </w:r>
            <w:proofErr w:type="spellStart"/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ToFUE</w:t>
            </w:r>
            <w:proofErr w:type="spellEnd"/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1.6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Zgodność realizacji projektu przed dniem złożenia wniosku o dofinansowanie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Jeżeli projekt rozpoczął się przed dniem złożenia wniosku o dofinansowanie, to przestrzegano obowiązujących przepisów prawa dotyczących danego projektu, zgodnie z art. 125 ust. 3 lit. e) rozporządzenia (UE) 1303/2013 z 17 grudnia 2013 r.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 lub „nie dotyczy”.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1.7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Zasadność realizacji projektu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Potrzeba realizacji danego projektu jest zrozumiała i jasno wynika ze zidentyfikowanych potrzeb inwestycyjnych Wnioskodawcy.  </w:t>
            </w:r>
          </w:p>
          <w:p w:rsidR="00C778F1" w:rsidRPr="00C778F1" w:rsidRDefault="00C778F1" w:rsidP="00C778F1">
            <w:pPr>
              <w:rPr>
                <w:rFonts w:ascii="Myriad Pro" w:hAnsi="Myriad Pro" w:cs="Arial"/>
                <w:sz w:val="20"/>
                <w:szCs w:val="20"/>
              </w:rPr>
            </w:pPr>
            <w:r w:rsidRPr="00C778F1">
              <w:rPr>
                <w:rFonts w:ascii="Myriad Pro" w:hAnsi="Myriad Pro" w:cs="Arial"/>
                <w:sz w:val="20"/>
                <w:szCs w:val="20"/>
              </w:rPr>
              <w:t>Cele projektu są poprawnie określone i zbieżne z analizą potrzeb.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Projekt ma charakter kompleksowy i reguluje gospodarkę wodno-ściekową na danym obszarze lub na danym terenie odbiór ścieków jest zabezpieczony przez istniejące już sieci kanalizacyjne.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1.8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Zgodność z zasadami horyzontalnymi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Projekt jest zgodny z właściwymi politykami i zasadami wspólnotowymi: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a) zrównoważonego rozwoju,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b) promowania i realizacji zasady równości szans 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i niedyskryminacji,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w tym. m. in. budowanie infrastruktury w zgodzie 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z zasadą uniwersalnego projektowania, tj. w taki sposób, by mogła być użyta przez wszystkich ludzi, w możliwie szerokim zakresie, bez potrzeby dodatkowej adaptacji).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1.9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Poprawność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 xml:space="preserve">okresu realizacji projektu 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 xml:space="preserve">Weryfikacji podlega zgodność okresu realizacji projektu z warunkami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określonymi w Regulaminie konkursu oraz to czy projekt nie został zakończony,  zgodnie z art.  65 rozporządzenia ogólnego.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>Okres realizacji projektu nie wykracza poza datę końcową okresu kwalifikowalności określoną w art. 65 ust. 2 rozporządzenia (UE) nr 1303/2013.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 xml:space="preserve">Spełnienie kryterium jest konieczne do przyznania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dofinansowania.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Kwalifikowalność  projektu</w:t>
            </w:r>
          </w:p>
        </w:tc>
        <w:tc>
          <w:tcPr>
            <w:tcW w:w="2481" w:type="pct"/>
          </w:tcPr>
          <w:p w:rsidR="00552DBB" w:rsidRPr="00552DBB" w:rsidRDefault="00552DBB" w:rsidP="00552DBB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552DBB">
              <w:rPr>
                <w:rFonts w:ascii="Myriad Pro" w:eastAsia="Calibri" w:hAnsi="Myriad Pro" w:cs="Times New Roman"/>
                <w:sz w:val="20"/>
                <w:szCs w:val="20"/>
              </w:rPr>
              <w:t>Operacja wybrana do dofinansowania z funduszy nie obejmuje przedsięwzięcia będącego częścią operacji, która została objęta lub powinna była zostać objęta procedurą odzyskiwania zgodnie z art. 71 Rozporządzenia 1303.</w:t>
            </w:r>
          </w:p>
          <w:p w:rsidR="00C778F1" w:rsidRPr="00C778F1" w:rsidRDefault="00552DBB" w:rsidP="00552DBB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552DBB">
              <w:rPr>
                <w:rFonts w:ascii="Myriad Pro" w:eastAsia="Calibri" w:hAnsi="Myriad Pro" w:cs="Times New Roman"/>
                <w:sz w:val="20"/>
                <w:szCs w:val="20"/>
              </w:rPr>
              <w:t>Projekt kwalifikuje się do dofinansowania zgodnie z przedstawionymi limitami i ograniczeniami określonymi w regulaminie konkursu.</w:t>
            </w:r>
          </w:p>
        </w:tc>
        <w:tc>
          <w:tcPr>
            <w:tcW w:w="1654" w:type="pct"/>
          </w:tcPr>
          <w:p w:rsidR="00552DBB" w:rsidRPr="00552DBB" w:rsidRDefault="00552DBB" w:rsidP="00552DBB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552DBB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 xml:space="preserve">Spełnienie kryterium jest konieczne do przyznania dofinansowania. </w:t>
            </w:r>
          </w:p>
          <w:p w:rsidR="00552DBB" w:rsidRPr="00552DBB" w:rsidRDefault="00552DBB" w:rsidP="00552DBB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552DBB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 xml:space="preserve">Projekty niespełniające kryterium są odrzucane. </w:t>
            </w:r>
          </w:p>
          <w:p w:rsidR="00C778F1" w:rsidRPr="00C778F1" w:rsidRDefault="00552DBB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552DBB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1.11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>Zgodność z obszarem (terytorialnie) objętym wsparciem w ramach Programu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 xml:space="preserve">Miejsce realizacji projektu jest zgodne z zapisami SOOP, regulaminem konkursu. 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1654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C778F1" w:rsidRPr="00C778F1" w:rsidRDefault="00C778F1" w:rsidP="00C778F1">
      <w:pPr>
        <w:rPr>
          <w:rFonts w:ascii="Myriad Pro" w:hAnsi="Myriad Pro"/>
          <w:sz w:val="20"/>
          <w:szCs w:val="20"/>
        </w:rPr>
        <w:sectPr w:rsidR="00C778F1" w:rsidRPr="00C778F1" w:rsidSect="001D4CDD">
          <w:head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1"/>
        <w:tblW w:w="4823" w:type="pct"/>
        <w:tblLayout w:type="fixed"/>
        <w:tblLook w:val="04A0" w:firstRow="1" w:lastRow="0" w:firstColumn="1" w:lastColumn="0" w:noHBand="0" w:noVBand="1"/>
      </w:tblPr>
      <w:tblGrid>
        <w:gridCol w:w="675"/>
        <w:gridCol w:w="1698"/>
        <w:gridCol w:w="6806"/>
        <w:gridCol w:w="4538"/>
      </w:tblGrid>
      <w:tr w:rsidR="00C778F1" w:rsidRPr="00C778F1" w:rsidTr="000D0717">
        <w:trPr>
          <w:tblHeader/>
        </w:trPr>
        <w:tc>
          <w:tcPr>
            <w:tcW w:w="5000" w:type="pct"/>
            <w:gridSpan w:val="4"/>
            <w:shd w:val="clear" w:color="auto" w:fill="D9D9D9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b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b/>
                <w:sz w:val="20"/>
                <w:szCs w:val="20"/>
              </w:rPr>
              <w:lastRenderedPageBreak/>
              <w:t>Kryteria administracyjności</w:t>
            </w:r>
          </w:p>
        </w:tc>
      </w:tr>
      <w:tr w:rsidR="00C778F1" w:rsidRPr="00C778F1" w:rsidTr="000D0717">
        <w:trPr>
          <w:tblHeader/>
        </w:trPr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L.p.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Nazwa kryterium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Definicja kryterium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Opis znaczenia kryterium</w:t>
            </w:r>
          </w:p>
        </w:tc>
      </w:tr>
      <w:tr w:rsidR="00C778F1" w:rsidRPr="00C778F1" w:rsidTr="000D0717">
        <w:trPr>
          <w:tblHeader/>
        </w:trPr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3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4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2.1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Poprawność i kompletność wniosku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Wniosek  został sporządzony i złożony zgodnie z obowiązującą Instrukcją wypełniania wniosku o dofinansowanie oraz z Regulaminem konkursu.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Wniosek zawiera szczegółowe opisy dotyczące produktów lub usług, które mają być dostarczone w ramach operacji, plan finansowy oraz termin realizacji.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Wszystkie dane Wnioskodawcy są zgodne z danymi podanymi w jego dokumentach rejestrowych lub w statucie.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Wszystkie pola we wniosku są wypełnione w języku polskim. Weryfikowana jest również kompletność wszystkich wymaganych załączników.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2.2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Możliwość dokonania oceny merytorycznej wniosku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Wszystkie pola we wniosku są wypełnione w taki sposób, że dają możliwość oceny merytorycznej wniosku. 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Jakość przedstawionych dokumentów (dokumentacji projektowej)  pozwala na dokonanie tej oceny. Należy zweryfikować przede wszystkim opisy (w tym analizy i wnioski) w kontekście ich: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Poprawności –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analiz);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Rzetelności – dokładności, z jaką opisy odzwierciedlają każdy z aspektów poszczególnych elementów projektu. Dotyczy etapu tworzenia opisów. Opisy zawsze powinny brać pod uwagę te same czynniki.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wybrane do analizy lub opisów elementy populacji / otoczenia powinny być reprezentatywne na tyle, aby odzwierciedlały rzeczywistą sytuację, a w przypadku interpretacji – błąd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związany z interpretacjami był minimalny);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Wiarygodności  – w przeciwieństwie do rzetelności, wiarygodność dotyczy przyjmowanych założeń oraz źródeł danych, na podstawie których dokonywane są analizy i tworzone opisy, a także formułowane wnioski.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2.3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Spójność wniosku i załączników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 ramach kryterium weryfikowana będzie spójność poszczególnych elementów wniosku, spójność załączników oraz spójność wniosku z załącznikami.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Opisy we wniosku oraz w załącznikach są ze sobą spójne, nie zawierają sprzecznych ze sobą kwestii. Weryfikacji podlega właściwy dobór przez Wnioskodawcę wskaźników zgodnie z Listą wskaźników i ich definicjami podanymi w dokumentacji konkursowej. Sposób wypełniania wniosku w zakresie wskaźników produktu i rezultatu opisany jest w Instrukcji wypełniania wniosku o dofinansowanie. Wybrane wskaźniki muszą odzwierciedlać efekty rzeczowe i wpływ przedsięwzięcia na otoczenie </w:t>
            </w:r>
            <w:proofErr w:type="spellStart"/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społeczno</w:t>
            </w:r>
            <w:proofErr w:type="spellEnd"/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 - ekonomiczne.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2.4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Zgodność z kwalifikowalnością wydatków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Wydatki w projekcie są zaplanowane  :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1) w sposób celowy i oszczędny, z zachowaniem zasad: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a) uzyskiwania najlepszych efektów z danych nakładów,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b) optymalnego doboru metod i środków służących osiągnięciu założonych celów;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2) w sposób umożliwiający terminową realizację zadań;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3) w wysokości i terminach wynikających z wcześniej zaciągniętych zobowiązań.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Wydatki założone w projekcie są zgodne z katalogiem wydatków oraz zasadami kwalifikowalności określonymi w Regulaminie konkursu.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2.5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Intensywność wsparcia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Wnioskowana kwota i poziom wsparcia są zgodnie z zapisami Regulaminu konkursu.(co najmniej w zakresie wartości dofinansowania i jego poziomu oraz uwzględnienia dochodu generowanego przez projekt po jego zakończeniu)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2.6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Poprawność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obliczeń całkowitych kosztów i całkowitych kosztów kwalifikowalnych oraz intensywności pomocy uwzględniającej generowanie dochodu w projekcie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 xml:space="preserve">Poprawność całkowitych kosztów i całkowitych kosztów kwalifikowalnych z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uwzględnieniem wymogów określonych w art.61 rozporządzenia (UE) nr 1303/2013, a także wystarczająca szczegółowość i racjonalne przesłanki obliczania kosztów, zarówno pod względem całkowitych kosztów niezbędnych do osiągnięcia wyznaczonych celów, jak i pod względem kosztów jednostkowych w stosownych przypadkach.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lastRenderedPageBreak/>
              <w:t xml:space="preserve">Spełnienie kryterium jest konieczne do przyznania </w:t>
            </w: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lastRenderedPageBreak/>
              <w:t>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2.7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Zasadność poziomu wsparcia w projekcie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rPr>
                <w:rFonts w:ascii="Myriad Pro" w:hAnsi="Myriad Pro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>Projekt jest realny z gospodarczego i finansowego punktu widzenia oraz przynosi pozytywne skutki społeczno-gospodarcze, co uzasadnia poziom wsparcia w zakresie przewidzianym w ramach EFRR.</w:t>
            </w:r>
          </w:p>
          <w:p w:rsidR="00C778F1" w:rsidRPr="00C778F1" w:rsidRDefault="00C778F1" w:rsidP="00C778F1">
            <w:pPr>
              <w:rPr>
                <w:rFonts w:ascii="Myriad Pro" w:hAnsi="Myriad Pro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 xml:space="preserve">Projekt </w:t>
            </w:r>
            <w:r w:rsidRPr="00C778F1">
              <w:rPr>
                <w:rFonts w:ascii="Myriad Pro" w:hAnsi="Myriad Pro"/>
                <w:sz w:val="20"/>
                <w:szCs w:val="20"/>
                <w:u w:val="single"/>
              </w:rPr>
              <w:t>wymaga</w:t>
            </w:r>
            <w:r w:rsidRPr="00C778F1">
              <w:rPr>
                <w:rFonts w:ascii="Myriad Pro" w:hAnsi="Myriad Pro"/>
                <w:sz w:val="20"/>
                <w:szCs w:val="20"/>
              </w:rPr>
              <w:t xml:space="preserve"> dofinansowania, gdy:</w:t>
            </w:r>
          </w:p>
          <w:p w:rsidR="00C778F1" w:rsidRPr="00C778F1" w:rsidRDefault="00C778F1" w:rsidP="00C778F1">
            <w:pPr>
              <w:rPr>
                <w:rFonts w:ascii="Myriad Pro" w:hAnsi="Myriad Pro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>FNPV/C &lt; 0, a FRR/C &lt; od stopy dyskontowej</w:t>
            </w:r>
          </w:p>
          <w:p w:rsidR="00C778F1" w:rsidRPr="00C778F1" w:rsidRDefault="00C778F1" w:rsidP="00C778F1">
            <w:pPr>
              <w:rPr>
                <w:rFonts w:ascii="Myriad Pro" w:hAnsi="Myriad Pro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 xml:space="preserve">Projekt </w:t>
            </w:r>
            <w:r w:rsidRPr="00C778F1">
              <w:rPr>
                <w:rFonts w:ascii="Myriad Pro" w:hAnsi="Myriad Pro"/>
                <w:sz w:val="20"/>
                <w:szCs w:val="20"/>
                <w:u w:val="single"/>
              </w:rPr>
              <w:t>jest efektywny finansowo</w:t>
            </w:r>
            <w:r w:rsidRPr="00C778F1">
              <w:rPr>
                <w:rFonts w:ascii="Myriad Pro" w:hAnsi="Myriad Pro"/>
                <w:sz w:val="20"/>
                <w:szCs w:val="20"/>
              </w:rPr>
              <w:t>, gdy FNPV/K &gt; 0,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hAnsi="Myriad Pro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 xml:space="preserve">Projekt </w:t>
            </w:r>
            <w:r w:rsidRPr="00C778F1">
              <w:rPr>
                <w:rFonts w:ascii="Myriad Pro" w:hAnsi="Myriad Pro"/>
                <w:sz w:val="20"/>
                <w:szCs w:val="20"/>
                <w:u w:val="single"/>
              </w:rPr>
              <w:t>jest warty współfinansowania</w:t>
            </w:r>
            <w:r w:rsidRPr="00C778F1">
              <w:rPr>
                <w:rFonts w:ascii="Myriad Pro" w:hAnsi="Myriad Pro"/>
                <w:sz w:val="20"/>
                <w:szCs w:val="20"/>
              </w:rPr>
              <w:t xml:space="preserve"> gdy ENPV&gt;0</w:t>
            </w:r>
          </w:p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rPr>
          <w:trHeight w:val="2550"/>
        </w:trPr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2.8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Zgodność z KPOŚK i Master Planem dla wdrażania dyrektywy Rady 91/271/EWG w sprawie oczyszczania ścieków komunalnych</w:t>
            </w:r>
          </w:p>
        </w:tc>
        <w:tc>
          <w:tcPr>
            <w:tcW w:w="2481" w:type="pct"/>
          </w:tcPr>
          <w:p w:rsidR="00C778F1" w:rsidRPr="00C778F1" w:rsidRDefault="00C778F1" w:rsidP="002E6E5B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Dofinansowanie mogą uzyskać aglomeracje ujęte w obowiązującej aktualizacji KPOŚK i Master Planie dla wdrażania dyrektywy Rady 91/271/EWG w sprawie oczyszczania ścieków komunalnych.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rPr>
          <w:trHeight w:val="850"/>
        </w:trPr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2.9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Wypełnienie dyrektywy Rady 91/271/EWG w sprawie oczyszczania ścieków komunalnych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Dofinansowanie dla indywidualnych systemów oczyszczania ścieków, uzyskać mogą jedynie projekty zlokalizowane na terenach: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- o rozproszonej zabudowie (znajdujących się na terenie aglomeracji) nieosiągających założonego wskaźnika koncentracji oraz takich, gdzie budowa systemów zbiorczych byłaby nieuzasadniona technicznie i ekonomicznie,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- gdzie nie istnieje możliwość podłączenia się do istniejącego lub będącego w trakcie realizacji zbiorczego systemu kanalizacyjnego;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- na których przed 2020 rokiem nie został, przez jednostkę samorządu terytorialnego lub podmioty świadczące usługi publiczne w ramach realizacji jej zadań własnych, zaplanowany zbiorczy system odprowadzania ścieków. 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rPr>
          <w:trHeight w:val="850"/>
        </w:trPr>
        <w:tc>
          <w:tcPr>
            <w:tcW w:w="246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2.10</w:t>
            </w:r>
          </w:p>
        </w:tc>
        <w:tc>
          <w:tcPr>
            <w:tcW w:w="619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Gotowość projektu do funkcjonowania bezpośrednio po zakończeniu inwestycji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Możliwe jest korzystanie z produktów wytworzonych w wyniku realizacji projektu bezpośrednio po jego zakończeniu. Opis projektu wyraźnie wskazuje na to, że bezpośrednio po zakończeniu realizacji projektu możliwe jest wykorzystanie pełnej funkcjonalności infrastruktury i nie wymaga dodatkowych działań (innych projektów itp.) w celu jej pełnego wykorzystania.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C778F1" w:rsidRPr="00C778F1" w:rsidRDefault="00C778F1" w:rsidP="00C778F1">
      <w:pPr>
        <w:rPr>
          <w:rFonts w:ascii="Myriad Pro" w:hAnsi="Myriad Pro"/>
          <w:sz w:val="20"/>
          <w:szCs w:val="20"/>
        </w:rPr>
        <w:sectPr w:rsidR="00C778F1" w:rsidRPr="00C778F1" w:rsidSect="001D4CD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1"/>
        <w:tblW w:w="4823" w:type="pct"/>
        <w:tblLayout w:type="fixed"/>
        <w:tblLook w:val="04A0" w:firstRow="1" w:lastRow="0" w:firstColumn="1" w:lastColumn="0" w:noHBand="0" w:noVBand="1"/>
      </w:tblPr>
      <w:tblGrid>
        <w:gridCol w:w="532"/>
        <w:gridCol w:w="1841"/>
        <w:gridCol w:w="6806"/>
        <w:gridCol w:w="4538"/>
      </w:tblGrid>
      <w:tr w:rsidR="00C778F1" w:rsidRPr="00C778F1" w:rsidTr="000D0717">
        <w:trPr>
          <w:tblHeader/>
        </w:trPr>
        <w:tc>
          <w:tcPr>
            <w:tcW w:w="5000" w:type="pct"/>
            <w:gridSpan w:val="4"/>
            <w:shd w:val="clear" w:color="auto" w:fill="D9D9D9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b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b/>
                <w:sz w:val="20"/>
                <w:szCs w:val="20"/>
              </w:rPr>
              <w:lastRenderedPageBreak/>
              <w:t>Kryteria wykonalności</w:t>
            </w:r>
          </w:p>
        </w:tc>
      </w:tr>
      <w:tr w:rsidR="00C778F1" w:rsidRPr="00C778F1" w:rsidTr="000D0717">
        <w:trPr>
          <w:tblHeader/>
        </w:trPr>
        <w:tc>
          <w:tcPr>
            <w:tcW w:w="194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L.p.</w:t>
            </w:r>
          </w:p>
        </w:tc>
        <w:tc>
          <w:tcPr>
            <w:tcW w:w="67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Nazwa kryterium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Definicja kryterium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Opis znaczenia kryterium</w:t>
            </w:r>
          </w:p>
        </w:tc>
      </w:tr>
      <w:tr w:rsidR="00C778F1" w:rsidRPr="00C778F1" w:rsidTr="000D0717">
        <w:trPr>
          <w:tblHeader/>
        </w:trPr>
        <w:tc>
          <w:tcPr>
            <w:tcW w:w="194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3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4</w:t>
            </w:r>
          </w:p>
        </w:tc>
      </w:tr>
      <w:tr w:rsidR="00C778F1" w:rsidRPr="00C778F1" w:rsidTr="000D0717">
        <w:tc>
          <w:tcPr>
            <w:tcW w:w="194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3.1</w:t>
            </w:r>
          </w:p>
        </w:tc>
        <w:tc>
          <w:tcPr>
            <w:tcW w:w="67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Wiarygodność popytu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Wiarygodność analizy popytu dokonanej na podstawie realistycznych szacunków oraz w zgodzie z głównymi tendencjami demograficznymi i rozwojem sytuacji w danym sektorze, która uzasadnia zapotrzebowanie na projekt oraz ogólny potencjał infrastruktury projektu.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Cele projektu wynikają z analizy potrzeb.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Projekt zakłada działania wykonalne w kontekście analizy potrzeb.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rPr>
          <w:trHeight w:val="566"/>
        </w:trPr>
        <w:tc>
          <w:tcPr>
            <w:tcW w:w="194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>3.2</w:t>
            </w:r>
          </w:p>
        </w:tc>
        <w:tc>
          <w:tcPr>
            <w:tcW w:w="671" w:type="pct"/>
            <w:noWrap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hAnsi="Myriad Pro"/>
                <w:bCs/>
                <w:iCs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>Poprawność analizy wariantowości</w:t>
            </w:r>
          </w:p>
        </w:tc>
        <w:tc>
          <w:tcPr>
            <w:tcW w:w="2481" w:type="pct"/>
          </w:tcPr>
          <w:p w:rsidR="00C778F1" w:rsidRPr="00C778F1" w:rsidRDefault="00C778F1" w:rsidP="00C778F1">
            <w:pPr>
              <w:rPr>
                <w:rFonts w:ascii="Myriad Pro" w:hAnsi="Myriad Pro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>Adekwatność jakości analizy wariantów. Przeanalizowano najważniejsze warianty i wybrano wariant najlepszy dla realizacji projektu, zawierającej uzasadnienie wybranego wariantu.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>Warianty zostały przygotowane pod kątem zróżnicowanego wpływu na środowisko oraz wykorzystania najnowszych standardów technologicznych.</w:t>
            </w:r>
          </w:p>
        </w:tc>
        <w:tc>
          <w:tcPr>
            <w:tcW w:w="1654" w:type="pct"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rPr>
          <w:trHeight w:val="566"/>
        </w:trPr>
        <w:tc>
          <w:tcPr>
            <w:tcW w:w="194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3.3</w:t>
            </w:r>
          </w:p>
        </w:tc>
        <w:tc>
          <w:tcPr>
            <w:tcW w:w="671" w:type="pct"/>
            <w:noWrap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hAnsi="Myriad Pro"/>
                <w:bCs/>
                <w:iCs/>
                <w:sz w:val="20"/>
                <w:szCs w:val="20"/>
              </w:rPr>
              <w:t>Zgodność z przepisami prawa krajowego i unijnego</w:t>
            </w:r>
          </w:p>
        </w:tc>
        <w:tc>
          <w:tcPr>
            <w:tcW w:w="2481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Ocenie podlega stan przygotowania projektu do realizacji w istniejącym otoczeniu prawnym.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Posiadanie niezbędnych pozwoleń i decyzji w celu osiągnięcia produktów lub usług, które mają być dostarczone w ramach operacji, osiągnięcia ich w wymaganym planie finansowym oraz zgodnie z wymaganym terminem realizacji.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Uwzględnienie m. in.: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1.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ab/>
              <w:t>postępowania OOŚ w przygotowaniu i realizacji projektu,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2.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ab/>
              <w:t>odpowiednich procedur zamówień publicznych,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3.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ab/>
              <w:t>kwestii związanych z uwarunkowaniami wynikającymi z procedur prawa budowlanego,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4.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ab/>
              <w:t>zasad polityki przestrzennej (wynikających  z Umowy Partnerstwa),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5.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ab/>
              <w:t>oceny odporności infrastruktury na ryzyka powodowane zmianami klimatu.</w:t>
            </w:r>
          </w:p>
        </w:tc>
        <w:tc>
          <w:tcPr>
            <w:tcW w:w="1654" w:type="pct"/>
            <w:hideMark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rPr>
          <w:trHeight w:val="2040"/>
        </w:trPr>
        <w:tc>
          <w:tcPr>
            <w:tcW w:w="194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3.4</w:t>
            </w:r>
          </w:p>
        </w:tc>
        <w:tc>
          <w:tcPr>
            <w:tcW w:w="671" w:type="pct"/>
            <w:noWrap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Zdolność finansowa</w:t>
            </w:r>
          </w:p>
        </w:tc>
        <w:tc>
          <w:tcPr>
            <w:tcW w:w="2481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Wnioskodawca posiada niezbędne środki finansowe do realizacji projektu, co wynika z przedstawionego planu finansowego. Sytuacja ekonomiczna wnioskodawcy daje gwarancję realizacji przedsięwzięcia w terminie określonym we wniosku o dofinansowanie oraz gwarantuje . osiągnięcie deklarowanych wartości wskaźników.</w:t>
            </w:r>
          </w:p>
        </w:tc>
        <w:tc>
          <w:tcPr>
            <w:tcW w:w="1654" w:type="pct"/>
            <w:hideMark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rPr>
          <w:trHeight w:val="2063"/>
        </w:trPr>
        <w:tc>
          <w:tcPr>
            <w:tcW w:w="194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3.5</w:t>
            </w:r>
          </w:p>
        </w:tc>
        <w:tc>
          <w:tcPr>
            <w:tcW w:w="671" w:type="pct"/>
            <w:noWrap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Zdolność ekonomiczna</w:t>
            </w:r>
          </w:p>
        </w:tc>
        <w:tc>
          <w:tcPr>
            <w:tcW w:w="2481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Przeprowadzona analiza kosztów i korzyści w studium wykonalności jest prawidłowa, a jej wyniki wskazują na to, że projekt posiada minimalny wymagany poziom efektywności społeczno-gospodarczej. Analizy biorą pod uwagę uwarunkowania płynące z otoczenia prawnego projektu. Tam gdzie to zasadne weryfikacja spełnienia kryterium powinna korzystać ze wskaźnika B/C, którego minimalna wartość to 1. Zagwarantowano utrzymanie trwałości projektu.</w:t>
            </w:r>
          </w:p>
        </w:tc>
        <w:tc>
          <w:tcPr>
            <w:tcW w:w="1654" w:type="pct"/>
            <w:hideMark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rPr>
          <w:trHeight w:val="850"/>
        </w:trPr>
        <w:tc>
          <w:tcPr>
            <w:tcW w:w="194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3.6</w:t>
            </w:r>
          </w:p>
        </w:tc>
        <w:tc>
          <w:tcPr>
            <w:tcW w:w="671" w:type="pct"/>
            <w:noWrap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Zdolność operacyjna</w:t>
            </w:r>
          </w:p>
        </w:tc>
        <w:tc>
          <w:tcPr>
            <w:tcW w:w="2481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Wnioskodawca gwarantuje zdolności organizacyjne do realizacji projektu zgodnie z celem szczegółowym, szczegółowymi warunkami produktów lub usług, które mają być dostarczone w ramach projektu i jest w stanie je dostarczyć w wymaganym terminie.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Wnioskodawca posiada/dysponuje doświadczoną kadrą na potrzeby realizacji projektu. </w:t>
            </w:r>
          </w:p>
        </w:tc>
        <w:tc>
          <w:tcPr>
            <w:tcW w:w="1654" w:type="pct"/>
            <w:hideMark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C778F1" w:rsidRPr="00C778F1" w:rsidTr="000D0717">
        <w:trPr>
          <w:trHeight w:val="992"/>
        </w:trPr>
        <w:tc>
          <w:tcPr>
            <w:tcW w:w="194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3.7</w:t>
            </w:r>
          </w:p>
        </w:tc>
        <w:tc>
          <w:tcPr>
            <w:tcW w:w="671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Wykonalność techniczna/technologiczna</w:t>
            </w:r>
          </w:p>
        </w:tc>
        <w:tc>
          <w:tcPr>
            <w:tcW w:w="2481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Projekt jest wykonalny pod względem technicznym. Zaproponowane rozwiązania techniczne/ technologiczne są optymalne i umożliwiają realizację projektu  zgodnie z zakładanym harmonogramem oraz zapewniają utrzymanie trwałości projektu.</w:t>
            </w:r>
          </w:p>
          <w:p w:rsidR="00C778F1" w:rsidRPr="00C778F1" w:rsidRDefault="00C778F1" w:rsidP="00C778F1">
            <w:pPr>
              <w:rPr>
                <w:rFonts w:ascii="Myriad Pro" w:hAnsi="Myriad Pro" w:cs="Arial"/>
                <w:sz w:val="20"/>
                <w:szCs w:val="20"/>
              </w:rPr>
            </w:pPr>
            <w:r w:rsidRPr="00C778F1">
              <w:rPr>
                <w:rFonts w:ascii="Myriad Pro" w:hAnsi="Myriad Pro" w:cs="Arial"/>
                <w:sz w:val="20"/>
                <w:szCs w:val="20"/>
              </w:rPr>
              <w:t>Harmonogram projektu został zaplanowany realnie i racjonalnie.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hAnsi="Myriad Pro" w:cs="Arial"/>
                <w:sz w:val="20"/>
                <w:szCs w:val="20"/>
              </w:rPr>
              <w:t>Wszystkie etapy projektu wynikają z procesu inwestycyjnego i są logicznie powiązane.</w:t>
            </w:r>
          </w:p>
        </w:tc>
        <w:tc>
          <w:tcPr>
            <w:tcW w:w="1654" w:type="pct"/>
            <w:hideMark/>
          </w:tcPr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:rsidR="00C778F1" w:rsidRPr="00C778F1" w:rsidRDefault="00C778F1" w:rsidP="00C778F1">
            <w:pPr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Projekty niespełniające kryterium są odrzucane.</w:t>
            </w:r>
          </w:p>
          <w:p w:rsidR="00C778F1" w:rsidRPr="00C778F1" w:rsidRDefault="00C778F1" w:rsidP="00C778F1">
            <w:pPr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C778F1" w:rsidRPr="00C778F1" w:rsidRDefault="00C778F1" w:rsidP="00C778F1">
      <w:pPr>
        <w:rPr>
          <w:rFonts w:ascii="Myriad Pro" w:hAnsi="Myriad Pro"/>
          <w:sz w:val="20"/>
          <w:szCs w:val="20"/>
        </w:rPr>
        <w:sectPr w:rsidR="00C778F1" w:rsidRPr="00C778F1" w:rsidSect="001D4CD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1"/>
        <w:tblW w:w="4823" w:type="pct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6946"/>
        <w:gridCol w:w="4395"/>
      </w:tblGrid>
      <w:tr w:rsidR="00C778F1" w:rsidRPr="00C778F1" w:rsidTr="000D0717">
        <w:trPr>
          <w:tblHeader/>
        </w:trPr>
        <w:tc>
          <w:tcPr>
            <w:tcW w:w="5000" w:type="pct"/>
            <w:gridSpan w:val="4"/>
            <w:shd w:val="clear" w:color="auto" w:fill="D9D9D9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b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b/>
                <w:sz w:val="20"/>
                <w:szCs w:val="20"/>
              </w:rPr>
              <w:lastRenderedPageBreak/>
              <w:t>Kryteria jakości</w:t>
            </w:r>
          </w:p>
        </w:tc>
      </w:tr>
      <w:tr w:rsidR="00C778F1" w:rsidRPr="00C778F1" w:rsidTr="000D0717">
        <w:trPr>
          <w:tblHeader/>
        </w:trPr>
        <w:tc>
          <w:tcPr>
            <w:tcW w:w="195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L.p.</w:t>
            </w:r>
          </w:p>
        </w:tc>
        <w:tc>
          <w:tcPr>
            <w:tcW w:w="671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Nazwa kryterium</w:t>
            </w:r>
          </w:p>
        </w:tc>
        <w:tc>
          <w:tcPr>
            <w:tcW w:w="2532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Definicja kryterium</w:t>
            </w:r>
          </w:p>
        </w:tc>
        <w:tc>
          <w:tcPr>
            <w:tcW w:w="1602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Opis znaczenia kryterium</w:t>
            </w:r>
          </w:p>
        </w:tc>
      </w:tr>
      <w:tr w:rsidR="00C778F1" w:rsidRPr="00C778F1" w:rsidTr="000D0717">
        <w:trPr>
          <w:tblHeader/>
        </w:trPr>
        <w:tc>
          <w:tcPr>
            <w:tcW w:w="195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</w:t>
            </w:r>
          </w:p>
        </w:tc>
        <w:tc>
          <w:tcPr>
            <w:tcW w:w="2532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3</w:t>
            </w:r>
          </w:p>
        </w:tc>
        <w:tc>
          <w:tcPr>
            <w:tcW w:w="1602" w:type="pct"/>
          </w:tcPr>
          <w:p w:rsidR="00C778F1" w:rsidRPr="00C778F1" w:rsidRDefault="00C778F1" w:rsidP="00C778F1">
            <w:pPr>
              <w:spacing w:before="40" w:after="40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4</w:t>
            </w:r>
          </w:p>
        </w:tc>
      </w:tr>
      <w:tr w:rsidR="00C778F1" w:rsidRPr="00C778F1" w:rsidTr="000D0717">
        <w:trPr>
          <w:trHeight w:val="1275"/>
        </w:trPr>
        <w:tc>
          <w:tcPr>
            <w:tcW w:w="195" w:type="pct"/>
            <w:vMerge w:val="restart"/>
            <w:noWrap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4.1</w:t>
            </w:r>
          </w:p>
        </w:tc>
        <w:tc>
          <w:tcPr>
            <w:tcW w:w="671" w:type="pct"/>
            <w:vMerge w:val="restar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Odpowiedniość / adekwatność / trafność </w:t>
            </w:r>
          </w:p>
        </w:tc>
        <w:tc>
          <w:tcPr>
            <w:tcW w:w="2532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Komplementarność.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Projekt jest związany z innymi przedsięwzięciami dotyczącymi ochrony środowiska (niezależnie od źródeł finansowania i podmiotu realizującego). Analizowane projekty i ich rezultaty warunkują się nawzajem.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0 pkt – brak powiązań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 pkt – projekt jest powiązany z innym projektem/projektami zrealizowanymi, w trakcie realizacji lub które uzyskały decyzję o finansowaniu w taki sposób, że projekty warunkują się wzajemnie lub stanowią następujące po sobie etapy określonego programu lub planu działania</w:t>
            </w:r>
          </w:p>
        </w:tc>
        <w:tc>
          <w:tcPr>
            <w:tcW w:w="1602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Skala 0/1 waga 4</w:t>
            </w:r>
          </w:p>
        </w:tc>
      </w:tr>
      <w:tr w:rsidR="00C778F1" w:rsidRPr="00C778F1" w:rsidTr="000D0717">
        <w:trPr>
          <w:trHeight w:val="1275"/>
        </w:trPr>
        <w:tc>
          <w:tcPr>
            <w:tcW w:w="195" w:type="pct"/>
            <w:vMerge/>
            <w:noWrap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671" w:type="pct"/>
            <w:vMerge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2532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Oddziaływanie projektu.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Realizacja projektu oddziaływać będzie na obszary objęte formami ochrony przyrody.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0 pkt – projekt nie jest realizowany na obszarach objętych formami ochrony przyrody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 pkt – projekt jest realizowany na obszarach objętych formami ochrony przyrody</w:t>
            </w:r>
          </w:p>
        </w:tc>
        <w:tc>
          <w:tcPr>
            <w:tcW w:w="1602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Skala punktów 0/1 waga 3</w:t>
            </w:r>
          </w:p>
        </w:tc>
      </w:tr>
      <w:tr w:rsidR="00C778F1" w:rsidRPr="00C778F1" w:rsidTr="000D0717">
        <w:trPr>
          <w:trHeight w:val="1275"/>
        </w:trPr>
        <w:tc>
          <w:tcPr>
            <w:tcW w:w="195" w:type="pct"/>
            <w:vMerge/>
            <w:noWrap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671" w:type="pct"/>
            <w:vMerge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2532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Koncentracja na systemie oczyszczania ścieków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Projekt skupia się na zapewnieniu sprawnego systemu oczyszczania ścieków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 pkt od 60% do 70% całkowitych wydatków kwalifikowalnych dotyczy kanalizacji sanitarne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 pkt powyżej  70% do 80% całkowitych wydatków kwalifikowalnych dotyczy kanalizacji sanitarnej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3 pkt powyżej 80% do 90% całkowitych wydatków kwalifikowalnych dotyczy kanalizacji sanitarnej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4 pkt powyżej 90% całkowitych wydatków kwalifikowalnych dotyczy kanalizacji sanitarnej</w:t>
            </w:r>
          </w:p>
        </w:tc>
        <w:tc>
          <w:tcPr>
            <w:tcW w:w="1602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Skala punktów 0/1/2/3/4 waga 1</w:t>
            </w:r>
          </w:p>
        </w:tc>
      </w:tr>
      <w:tr w:rsidR="00C778F1" w:rsidRPr="00C778F1" w:rsidTr="000D0717">
        <w:trPr>
          <w:trHeight w:val="850"/>
        </w:trPr>
        <w:tc>
          <w:tcPr>
            <w:tcW w:w="195" w:type="pct"/>
            <w:vMerge w:val="restar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4.2</w:t>
            </w:r>
          </w:p>
        </w:tc>
        <w:tc>
          <w:tcPr>
            <w:tcW w:w="671" w:type="pct"/>
            <w:vMerge w:val="restar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Skuteczność </w:t>
            </w:r>
          </w:p>
        </w:tc>
        <w:tc>
          <w:tcPr>
            <w:tcW w:w="2532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Wpływ na realizacje wskaźników rezultatu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Kryterium ocenia wpływ projektu na realizację wskaźników rezultatu w poszczególnych działaniach. W ramach kryterium ocenie podlegać będzie: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a) Liczba dodatkowych osób korzystających z ulepszonego oczyszczania ścieków - w przypadku budowy lub modernizacji oczyszczalni ścieków;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b) Długość kanalizacji sanitarnej - w przypadku budowy lub modernizacji sieci kanalizacyjnych.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c) Liczba dodatkowych osób korzystających z ulepszonego oczyszczania ścieków - w przypadku budowy indywidualnych systemów oczyszczania ścieków.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a)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1 pkt - poniżej 200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2 pkt - od 200 RLM i poniżej 400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3 pkt - od 400 RLM i poniżej 600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4 pkt - od 600 RLM i poniżej 800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5 pkt - od 800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b)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1 pkt - poniżej 3 km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2 pkt - od 3 km i poniżej 6 km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3 pkt - od 6 km i poniżej 9 km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4 pkt - od 9 km i poniżej 12 km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5 pkt - od 12 km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c)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1 pkt - poniżej 35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2 pkt - od 35 RLM i poniżej 50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3 pkt - od 50 RLM i poniżej 65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4 pkt - od 65 RLM i poniżej 80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5 pkt - od 80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Można uzyskać punkty tylko za jeden wskaźnik. Oceniający wybiera najkorzystniejszą punktację jeśli wskaźników jest więcej w projekcie</w:t>
            </w:r>
          </w:p>
        </w:tc>
        <w:tc>
          <w:tcPr>
            <w:tcW w:w="1602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Skala punktów 1/2/3/4/5 waga 3</w:t>
            </w:r>
          </w:p>
        </w:tc>
      </w:tr>
      <w:tr w:rsidR="00C778F1" w:rsidRPr="00C778F1" w:rsidTr="000D0717">
        <w:trPr>
          <w:trHeight w:val="850"/>
        </w:trPr>
        <w:tc>
          <w:tcPr>
            <w:tcW w:w="195" w:type="pct"/>
            <w:vMerge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671" w:type="pct"/>
            <w:vMerge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2532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Przyrost RLM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W ramach kryterium ocenie podlegać będzie: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a) nowo podłączony RLM podłączonych do sieci kanalizacji sanitarnej w wyniku realizacji projektu – dla projektów w ramach których realizowana jest budowa sieci kanalizacji sanitarnej,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b) wielkość oczyszczalni ścieków wyrażona w RLM (liczonych na podstawie ilości ścieków dopływających na OŚ po realizacji projektu oraz wartości wskaźnika BZT5 ścieków dopływających) – dla projektów w ramach których realizowana jest budowa/modernizacja/rozbudowa oczyszczalni ścieków,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c) modernizacja sieci kanalizacji sanitarnej (w tym rozdział sieci ogólnospławnej)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 xml:space="preserve">lub budowa indywidualnych systemów oczyszczania ścieków;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W sytuacji kiedy w ramach projektu realizowana jest zarówno budowa/modernizacja sieci kanalizacji sanitarnej, jak i prace na oczyszczalni ścieków, punkty należy przyznać w stosunku do tego zakresu, który jest największy kosztowo.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Przyrost RLM: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a) w zakresie RLM nowo podłączonych do sieci kanalizacji sanitarnej :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1 pkt - poniżej 100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2 pkt - od 100 RLM i poniżej 200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3 pkt - od 200 RLM i poniżej 300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4 pkt - od 300 RLM i poniżej 400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5 pkt - od 400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b) w zakresie wielkości oczyszczalni po realizacji projektu: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1 pkt - poniżej 2 tys.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2 pkt - od 2 tys. RLM i poniżej 4 tys.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3 pkt - od 4 tys. RLM i poniżej 6 tys.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4 pkt - od 6 tys. RLM i poniżej 8 tys.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5 pkt - od 8 tys. RLM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c) w sytuacji kiedy projekt dotyczy przede wszystkim modernizacji sieci kanalizacji sanitarnej (w tym rozdziału sieci ogólnospławnej) lub budowy indywidualnych systemów oczyszczania ścieków – 1 pkt.</w:t>
            </w:r>
          </w:p>
        </w:tc>
        <w:tc>
          <w:tcPr>
            <w:tcW w:w="1602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br/>
              <w:t>Skala 1/2/3/4/5 waga 2</w:t>
            </w:r>
          </w:p>
        </w:tc>
      </w:tr>
      <w:tr w:rsidR="00C778F1" w:rsidRPr="00C778F1" w:rsidTr="000D0717">
        <w:trPr>
          <w:trHeight w:val="708"/>
        </w:trPr>
        <w:tc>
          <w:tcPr>
            <w:tcW w:w="195" w:type="pct"/>
            <w:vMerge w:val="restar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4.3</w:t>
            </w:r>
          </w:p>
        </w:tc>
        <w:tc>
          <w:tcPr>
            <w:tcW w:w="671" w:type="pct"/>
            <w:vMerge w:val="restar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Efektywność </w:t>
            </w:r>
          </w:p>
        </w:tc>
        <w:tc>
          <w:tcPr>
            <w:tcW w:w="2532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Gotowość do realizacji projektu.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Premiuje się posiadanie niezbędnych do realizacji projektu pozwoleń oraz projektów budowalnych na etapie składania wniosku o dofinansowanie.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Liczba punktów przyznawana za osiągnięte kolejne etapy przygotowania projektu (max. 2 pkt):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1 pkt – projekt posiada projekt budowlany (może być niezatwierdzony) dla co najmniej 70% zakresu rzeczowego przedsięwzięcia;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1 pkt – projekt uzyskał pozwolenie na budowę dla co najmniej 70% zakresu rzeczowego przedsięwzięcia.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Uwaga: Jeżeli danego projektu nie dotyczy któryś z ww. etapów przygotowania inwestycji, projektowi przysługuje 1 pkt za gotowość w ramach tego etapu.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1602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br/>
              <w:t>Skala 0/1/2 waga 2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</w:tr>
      <w:tr w:rsidR="00C778F1" w:rsidRPr="00C778F1" w:rsidTr="000D0717">
        <w:trPr>
          <w:trHeight w:val="992"/>
        </w:trPr>
        <w:tc>
          <w:tcPr>
            <w:tcW w:w="195" w:type="pct"/>
            <w:vMerge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671" w:type="pct"/>
            <w:vMerge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2532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Efektywność kosztowa projektu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(stosunek wartości środków UE wyrażonej w PLN do osiągniętej w wyniku realizacji projektu liczby osób korzystających z ulepszonego oczyszczania ścieków.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Punktacja wyliczana będzie wg wzoru: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liczba punktów w kryterium = (X/Y) * A (wartość do drugiego miejsca po przecinku zaokrąglona matematycznie)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gdzie: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X- wskaźnik efektywności kosztowej najniższy w grupie złożonych projektów, gdzie wskaźnik efektywności kosztowej = środki UE / liczby osób korzystających z ulepszonego oczyszczania ścieków (wartość do drugiego miejsca po przecinku zaokrąglona matematycznie),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Y- wskaźnik efektywności kosztowej ocenianego projektu, gdzie wskaźnik efektywności kosztowej = środki UE / liczby osób korzystających z ulepszonego oczyszczania ścieków (wartość do drugiego miejsca po przecinku zaokrąglona matematycznie),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A- waga = 20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1602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Skala 0-1 waga 20</w:t>
            </w:r>
          </w:p>
        </w:tc>
      </w:tr>
      <w:tr w:rsidR="00C778F1" w:rsidRPr="00C778F1" w:rsidTr="000D0717">
        <w:trPr>
          <w:trHeight w:val="992"/>
        </w:trPr>
        <w:tc>
          <w:tcPr>
            <w:tcW w:w="195" w:type="pct"/>
            <w:vMerge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671" w:type="pct"/>
            <w:vMerge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2532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Wypełnienie Priorytetu III i IV Master Planu po realizacji projektu.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 ramach kryterium ocenie podlegać będzie wypełnienie przez aglomerację wymogów Master Planu w zakresie stopnia  wyposażenia aglomeracji w sieć kanalizacji sanitarnej osiągniętego  po realizacji projektu w % (stopień skanalizowania rozumiany, jako procent użytkowników (RLM) przyłączonych do sieci kanalizacyjnej zakończonej oczyszczalnią ścieków (mieszkańcy + przemysł + miejsca noclegowe)  w stosunku do całkowitego ładunku aglomeracji (RLM)  zgodnie z obowiązującym rozporządzeniem);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1 pkt - poniżej 85%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2 pkt - od 85% i poniżej 90%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3 pkt - od 90% i poniżej 95%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4 pkt - od 95%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1602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br/>
              <w:t>Skala 1/2/3/4 waga 2</w:t>
            </w:r>
          </w:p>
        </w:tc>
      </w:tr>
      <w:tr w:rsidR="00C778F1" w:rsidRPr="00C778F1" w:rsidTr="000D0717">
        <w:trPr>
          <w:trHeight w:val="850"/>
        </w:trPr>
        <w:tc>
          <w:tcPr>
            <w:tcW w:w="195" w:type="pct"/>
            <w:vMerge/>
            <w:noWrap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671" w:type="pct"/>
            <w:vMerge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2532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W ramach kryterium ocenie podlegać będzie przyrost  liczby osób korzystających z ulepszonego oczyszczania ścieków. Zostanie dokonane porównanie efektów wszystkich projektów, które zostały zakwalifikowane do tego etapu oceny.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Przyrost liczby osób korzystających z ulepszonego oczyszczania ścieków: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w zależności od innych złożonych w ramach konkursu  projektów wg wzoru: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liczba pkt = X / Y* A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X- liczba osób w ocenianym projekcie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Y - liczba osób z największą liczbą osób w wszystkich ocenianych projektach  </w:t>
            </w: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br/>
              <w:t>A- waga 15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1602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Skala 0-1waga 15</w:t>
            </w:r>
          </w:p>
        </w:tc>
      </w:tr>
      <w:tr w:rsidR="00C778F1" w:rsidRPr="00C778F1" w:rsidTr="000D0717">
        <w:trPr>
          <w:trHeight w:val="850"/>
        </w:trPr>
        <w:tc>
          <w:tcPr>
            <w:tcW w:w="195" w:type="pct"/>
            <w:vMerge/>
            <w:noWrap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671" w:type="pct"/>
            <w:vMerge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2532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Zagospodarowanie odpadów </w:t>
            </w:r>
            <w:proofErr w:type="spellStart"/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pościekowych</w:t>
            </w:r>
            <w:proofErr w:type="spellEnd"/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Kryterium punktuje zastosowania w projekcie rozwiązań zagospodarowujących odpady </w:t>
            </w:r>
            <w:proofErr w:type="spellStart"/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pościekowe</w:t>
            </w:r>
            <w:proofErr w:type="spellEnd"/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 1 pkt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1602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Skala 0/1 waga 4</w:t>
            </w:r>
          </w:p>
        </w:tc>
      </w:tr>
      <w:tr w:rsidR="00C778F1" w:rsidRPr="00C778F1" w:rsidTr="000D0717">
        <w:trPr>
          <w:trHeight w:val="850"/>
        </w:trPr>
        <w:tc>
          <w:tcPr>
            <w:tcW w:w="195" w:type="pct"/>
            <w:vMerge w:val="restart"/>
            <w:noWrap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4.4</w:t>
            </w:r>
          </w:p>
        </w:tc>
        <w:tc>
          <w:tcPr>
            <w:tcW w:w="671" w:type="pct"/>
            <w:vMerge w:val="restar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Użyteczność </w:t>
            </w:r>
          </w:p>
        </w:tc>
        <w:tc>
          <w:tcPr>
            <w:tcW w:w="2532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Użyteczność wynikająca z dokumentów strategicznych JST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Projekt przyczyni się do rozwiązania problemów wskazanych w dokumentach strategicznych.</w:t>
            </w:r>
          </w:p>
        </w:tc>
        <w:tc>
          <w:tcPr>
            <w:tcW w:w="1602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Skala punktów 0/1; waga 3</w:t>
            </w:r>
          </w:p>
        </w:tc>
      </w:tr>
      <w:tr w:rsidR="00C778F1" w:rsidRPr="00C778F1" w:rsidTr="000D0717">
        <w:trPr>
          <w:trHeight w:val="850"/>
        </w:trPr>
        <w:tc>
          <w:tcPr>
            <w:tcW w:w="195" w:type="pct"/>
            <w:vMerge/>
            <w:noWrap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671" w:type="pct"/>
            <w:vMerge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2532" w:type="pct"/>
          </w:tcPr>
          <w:p w:rsidR="00C778F1" w:rsidRPr="00C778F1" w:rsidRDefault="00C778F1" w:rsidP="00C778F1">
            <w:pPr>
              <w:spacing w:before="40" w:after="40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Użyteczność wynikająca ze strategii Morza Bałtyckiego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W ramach kryterium ocenie podlegać będzie zgodność projektu ze Strategią Unii Europejskiej dla regionu Morza Bałtyckiego (SUE RMB):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2 pkt - projekt przyczynia się do osiągnięcia celów Strategii Unii Europejskiej dla Regionu Morza Bałtyckiego lub do realizacji co najmniej jednego działania określonego w Planie Działania stanowiącym załącznik do SUE RMB</w:t>
            </w:r>
          </w:p>
        </w:tc>
        <w:tc>
          <w:tcPr>
            <w:tcW w:w="1602" w:type="pct"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</w:pPr>
            <w:proofErr w:type="spellStart"/>
            <w:r w:rsidRPr="00C778F1"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  <w:t>Skala</w:t>
            </w:r>
            <w:proofErr w:type="spellEnd"/>
            <w:r w:rsidRPr="00C778F1"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8F1"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  <w:t>punktów</w:t>
            </w:r>
            <w:proofErr w:type="spellEnd"/>
            <w:r w:rsidRPr="00C778F1"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  <w:t xml:space="preserve"> 0/2 </w:t>
            </w:r>
            <w:proofErr w:type="spellStart"/>
            <w:r w:rsidRPr="00C778F1"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  <w:t>waga</w:t>
            </w:r>
            <w:proofErr w:type="spellEnd"/>
            <w:r w:rsidRPr="00C778F1"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  <w:t xml:space="preserve"> 4</w:t>
            </w:r>
          </w:p>
        </w:tc>
      </w:tr>
      <w:tr w:rsidR="00C778F1" w:rsidRPr="00C778F1" w:rsidTr="000D0717">
        <w:trPr>
          <w:trHeight w:val="255"/>
        </w:trPr>
        <w:tc>
          <w:tcPr>
            <w:tcW w:w="195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>4.5</w:t>
            </w:r>
          </w:p>
        </w:tc>
        <w:tc>
          <w:tcPr>
            <w:tcW w:w="671" w:type="pct"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t xml:space="preserve">Trwałość </w:t>
            </w:r>
          </w:p>
        </w:tc>
        <w:tc>
          <w:tcPr>
            <w:tcW w:w="2532" w:type="pct"/>
            <w:noWrap/>
            <w:hideMark/>
          </w:tcPr>
          <w:p w:rsidR="00C778F1" w:rsidRPr="00C778F1" w:rsidRDefault="00C778F1" w:rsidP="00C778F1">
            <w:pPr>
              <w:rPr>
                <w:rFonts w:ascii="Myriad Pro" w:hAnsi="Myriad Pro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>Doświadczenie Wnioskodawcy</w:t>
            </w:r>
          </w:p>
          <w:p w:rsidR="00C778F1" w:rsidRPr="00C778F1" w:rsidRDefault="00C778F1" w:rsidP="00C778F1">
            <w:pPr>
              <w:rPr>
                <w:rFonts w:ascii="Myriad Pro" w:hAnsi="Myriad Pro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>1 pkt – wnioskodawca ma doświadczenie w realizacji  projektów związanych z infrastrukturą kanalizacyjną</w:t>
            </w:r>
          </w:p>
          <w:p w:rsidR="00C778F1" w:rsidRPr="00C778F1" w:rsidRDefault="00C778F1" w:rsidP="00C778F1">
            <w:pPr>
              <w:rPr>
                <w:rFonts w:ascii="Myriad Pro" w:hAnsi="Myriad Pro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t>Efekty ponad minimalną trwałość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hAnsi="Myriad Pro"/>
                <w:sz w:val="20"/>
                <w:szCs w:val="20"/>
              </w:rPr>
            </w:pPr>
            <w:r w:rsidRPr="00C778F1">
              <w:rPr>
                <w:rFonts w:ascii="Myriad Pro" w:hAnsi="Myriad Pro"/>
                <w:sz w:val="20"/>
                <w:szCs w:val="20"/>
              </w:rPr>
              <w:lastRenderedPageBreak/>
              <w:t xml:space="preserve">2 pkt - efekty projektu oddziałują w okresie dłuższym niż minimalnie wymagany okres trwałości dla projektu, </w:t>
            </w:r>
          </w:p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1602" w:type="pct"/>
            <w:noWrap/>
            <w:hideMark/>
          </w:tcPr>
          <w:p w:rsidR="00C778F1" w:rsidRPr="00C778F1" w:rsidRDefault="00C778F1" w:rsidP="00C778F1">
            <w:pPr>
              <w:spacing w:before="40" w:after="40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C778F1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Skala 0/1/2/3 waga 2</w:t>
            </w:r>
          </w:p>
        </w:tc>
      </w:tr>
    </w:tbl>
    <w:p w:rsidR="00004FCC" w:rsidRDefault="00004FCC" w:rsidP="00D37902"/>
    <w:sectPr w:rsidR="00004FCC" w:rsidSect="00C778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26C" w:rsidRDefault="00B2650C">
      <w:pPr>
        <w:spacing w:after="0" w:line="240" w:lineRule="auto"/>
      </w:pPr>
      <w:r>
        <w:separator/>
      </w:r>
    </w:p>
  </w:endnote>
  <w:endnote w:type="continuationSeparator" w:id="0">
    <w:p w:rsidR="00FE226C" w:rsidRDefault="00B2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26C" w:rsidRDefault="00B2650C">
      <w:pPr>
        <w:spacing w:after="0" w:line="240" w:lineRule="auto"/>
      </w:pPr>
      <w:r>
        <w:separator/>
      </w:r>
    </w:p>
  </w:footnote>
  <w:footnote w:type="continuationSeparator" w:id="0">
    <w:p w:rsidR="00FE226C" w:rsidRDefault="00B2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494" w:rsidRDefault="00B01494" w:rsidP="00B01494">
    <w:pPr>
      <w:tabs>
        <w:tab w:val="center" w:pos="4536"/>
        <w:tab w:val="right" w:pos="9072"/>
      </w:tabs>
      <w:spacing w:after="0" w:line="240" w:lineRule="auto"/>
      <w:jc w:val="right"/>
      <w:rPr>
        <w:rFonts w:eastAsiaTheme="minorEastAsia"/>
        <w:lang w:eastAsia="pl-PL"/>
      </w:rPr>
    </w:pPr>
    <w:r w:rsidRPr="00B01494">
      <w:rPr>
        <w:rFonts w:eastAsiaTheme="minorEastAsia"/>
        <w:lang w:eastAsia="pl-PL"/>
      </w:rPr>
      <w:t>Załącznik nr 3 do Regulaminu konkursu</w:t>
    </w:r>
  </w:p>
  <w:p w:rsidR="00B01494" w:rsidRPr="00B01494" w:rsidRDefault="00B01494" w:rsidP="00B01494">
    <w:pPr>
      <w:tabs>
        <w:tab w:val="center" w:pos="4536"/>
        <w:tab w:val="right" w:pos="9072"/>
      </w:tabs>
      <w:spacing w:after="0" w:line="240" w:lineRule="auto"/>
      <w:jc w:val="right"/>
      <w:rPr>
        <w:rFonts w:eastAsiaTheme="minorEastAsia"/>
        <w:lang w:eastAsia="pl-PL"/>
      </w:rPr>
    </w:pPr>
    <w:r>
      <w:rPr>
        <w:rFonts w:eastAsiaTheme="minorEastAsia"/>
        <w:lang w:eastAsia="pl-PL"/>
      </w:rPr>
      <w:t xml:space="preserve">nr </w:t>
    </w:r>
    <w:r w:rsidRPr="00B01494">
      <w:rPr>
        <w:rFonts w:eastAsiaTheme="minorEastAsia"/>
        <w:lang w:eastAsia="pl-PL"/>
      </w:rPr>
      <w:t>RPZP.03.06.00-IP.01-32-KO3/17</w:t>
    </w:r>
  </w:p>
  <w:p w:rsidR="002A58F5" w:rsidRPr="00B01494" w:rsidRDefault="00B01494" w:rsidP="00B014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F1"/>
    <w:rsid w:val="00004FCC"/>
    <w:rsid w:val="001B0BD9"/>
    <w:rsid w:val="002E6E5B"/>
    <w:rsid w:val="00335F8D"/>
    <w:rsid w:val="00552DBB"/>
    <w:rsid w:val="005D7C59"/>
    <w:rsid w:val="00B01494"/>
    <w:rsid w:val="00B2650C"/>
    <w:rsid w:val="00B748F8"/>
    <w:rsid w:val="00C778F1"/>
    <w:rsid w:val="00D37902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A7AEE0-E860-4722-AEB1-5139D0A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78F1"/>
    <w:pPr>
      <w:tabs>
        <w:tab w:val="center" w:pos="4536"/>
        <w:tab w:val="right" w:pos="9072"/>
      </w:tabs>
      <w:spacing w:after="0" w:line="240" w:lineRule="auto"/>
    </w:pPr>
    <w:rPr>
      <w:rFonts w:ascii="Myriad Pro" w:hAnsi="Myriad Pro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C778F1"/>
    <w:rPr>
      <w:rFonts w:ascii="Myriad Pro" w:hAnsi="Myriad Pro"/>
      <w:sz w:val="16"/>
    </w:rPr>
  </w:style>
  <w:style w:type="table" w:customStyle="1" w:styleId="Tabela-Siatka1">
    <w:name w:val="Tabela - Siatka1"/>
    <w:basedOn w:val="Standardowy"/>
    <w:next w:val="Tabela-Siatka"/>
    <w:uiPriority w:val="59"/>
    <w:rsid w:val="00C778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7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52DB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DB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65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65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65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65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650C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8C6022F-B9B8-4941-A3C6-41F2FE4F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3865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UMWZP</dc:creator>
  <cp:lastModifiedBy>Piotr PP. Piosicki</cp:lastModifiedBy>
  <cp:revision>6</cp:revision>
  <dcterms:created xsi:type="dcterms:W3CDTF">2016-09-12T09:46:00Z</dcterms:created>
  <dcterms:modified xsi:type="dcterms:W3CDTF">2017-03-31T10:44:00Z</dcterms:modified>
</cp:coreProperties>
</file>