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B4" w:rsidRPr="001A08C8" w:rsidRDefault="006B3CB4" w:rsidP="006B3CB4">
      <w:pPr>
        <w:spacing w:after="0"/>
        <w:rPr>
          <w:rFonts w:ascii="Myriad Pro" w:hAnsi="Myriad Pro"/>
          <w:sz w:val="20"/>
        </w:rPr>
      </w:pPr>
      <w:bookmarkStart w:id="0" w:name="_GoBack"/>
      <w:bookmarkEnd w:id="0"/>
    </w:p>
    <w:p w:rsidR="006B3CB4" w:rsidRPr="001A08C8" w:rsidRDefault="006B3CB4" w:rsidP="006B3CB4">
      <w:pPr>
        <w:autoSpaceDE w:val="0"/>
        <w:autoSpaceDN w:val="0"/>
        <w:adjustRightInd w:val="0"/>
        <w:jc w:val="center"/>
        <w:rPr>
          <w:rFonts w:ascii="Myriad Pro" w:hAnsi="Myriad Pro" w:cs="Arial"/>
          <w:b/>
          <w:bCs/>
          <w:sz w:val="20"/>
        </w:rPr>
      </w:pPr>
      <w:r w:rsidRPr="001A08C8">
        <w:rPr>
          <w:rFonts w:ascii="Myriad Pro" w:hAnsi="Myriad Pro"/>
          <w:b/>
          <w:sz w:val="20"/>
        </w:rPr>
        <w:t xml:space="preserve">Kryteria ogólne przyjęte Uchwałą </w:t>
      </w:r>
      <w:r w:rsidRPr="001A08C8">
        <w:rPr>
          <w:rFonts w:ascii="Myriad Pro" w:hAnsi="Myriad Pro" w:cs="Arial"/>
          <w:b/>
          <w:bCs/>
          <w:sz w:val="20"/>
        </w:rPr>
        <w:t xml:space="preserve">Nr </w:t>
      </w:r>
      <w:r>
        <w:rPr>
          <w:rFonts w:ascii="Myriad Pro" w:hAnsi="Myriad Pro" w:cs="Arial"/>
          <w:b/>
          <w:bCs/>
          <w:sz w:val="20"/>
        </w:rPr>
        <w:t>…</w:t>
      </w:r>
      <w:r w:rsidRPr="001A08C8">
        <w:rPr>
          <w:rFonts w:ascii="Myriad Pro" w:hAnsi="Myriad Pro" w:cs="Arial"/>
          <w:b/>
          <w:bCs/>
          <w:sz w:val="20"/>
        </w:rPr>
        <w:t xml:space="preserve"> Komitetu Monitorującego RPO WZ 2014-2020 z dnia </w:t>
      </w:r>
      <w:r>
        <w:rPr>
          <w:rFonts w:ascii="Myriad Pro" w:hAnsi="Myriad Pro" w:cs="Arial"/>
          <w:b/>
          <w:bCs/>
          <w:sz w:val="20"/>
        </w:rPr>
        <w:t>…</w:t>
      </w:r>
      <w:r w:rsidRPr="001A08C8">
        <w:rPr>
          <w:rFonts w:ascii="Myriad Pro" w:hAnsi="Myriad Pro" w:cs="Arial"/>
          <w:b/>
          <w:bCs/>
          <w:sz w:val="20"/>
        </w:rPr>
        <w:t xml:space="preserve"> r. (tryb pozakonkursowy)</w:t>
      </w:r>
    </w:p>
    <w:tbl>
      <w:tblPr>
        <w:tblStyle w:val="Tabela-Siatka"/>
        <w:tblW w:w="14175" w:type="dxa"/>
        <w:jc w:val="center"/>
        <w:shd w:val="clear" w:color="auto" w:fill="B4C6E7" w:themeFill="accent5" w:themeFillTint="66"/>
        <w:tblLayout w:type="fixed"/>
        <w:tblLook w:val="04A0" w:firstRow="1" w:lastRow="0" w:firstColumn="1" w:lastColumn="0" w:noHBand="0" w:noVBand="1"/>
      </w:tblPr>
      <w:tblGrid>
        <w:gridCol w:w="1900"/>
        <w:gridCol w:w="12275"/>
      </w:tblGrid>
      <w:tr w:rsidR="006B3CB4" w:rsidRPr="00E01003" w:rsidTr="007440E7">
        <w:trPr>
          <w:jc w:val="center"/>
        </w:trPr>
        <w:tc>
          <w:tcPr>
            <w:tcW w:w="1900" w:type="dxa"/>
            <w:shd w:val="clear" w:color="auto" w:fill="B4C6E7" w:themeFill="accent5" w:themeFillTint="66"/>
          </w:tcPr>
          <w:p w:rsidR="006B3CB4" w:rsidRPr="00E01003" w:rsidRDefault="006B3CB4" w:rsidP="007440E7">
            <w:pPr>
              <w:spacing w:before="40" w:after="40"/>
              <w:rPr>
                <w:rFonts w:cs="Arial"/>
              </w:rPr>
            </w:pPr>
            <w:r w:rsidRPr="00E01003">
              <w:rPr>
                <w:rFonts w:cs="Arial"/>
              </w:rPr>
              <w:t>Oś priorytetowa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6B3CB4" w:rsidRPr="00E01003" w:rsidRDefault="006B3CB4" w:rsidP="007440E7">
            <w:pPr>
              <w:spacing w:before="40" w:after="40"/>
              <w:rPr>
                <w:rFonts w:cs="Arial"/>
              </w:rPr>
            </w:pPr>
            <w:r w:rsidRPr="00E01003">
              <w:rPr>
                <w:rFonts w:cs="Arial"/>
              </w:rPr>
              <w:t>VII Włączenie społeczne</w:t>
            </w:r>
          </w:p>
        </w:tc>
      </w:tr>
      <w:tr w:rsidR="006B3CB4" w:rsidRPr="00E01003" w:rsidTr="007440E7">
        <w:trPr>
          <w:jc w:val="center"/>
        </w:trPr>
        <w:tc>
          <w:tcPr>
            <w:tcW w:w="1900" w:type="dxa"/>
            <w:shd w:val="clear" w:color="auto" w:fill="B4C6E7" w:themeFill="accent5" w:themeFillTint="66"/>
          </w:tcPr>
          <w:p w:rsidR="006B3CB4" w:rsidRPr="00E01003" w:rsidRDefault="006B3CB4" w:rsidP="007440E7">
            <w:pPr>
              <w:spacing w:before="40" w:after="40"/>
              <w:rPr>
                <w:rFonts w:cs="Arial"/>
              </w:rPr>
            </w:pPr>
            <w:r w:rsidRPr="00E01003">
              <w:rPr>
                <w:rFonts w:cs="Arial"/>
              </w:rPr>
              <w:t>Priorytet Inwestycyjny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6B3CB4" w:rsidRPr="00E01003" w:rsidRDefault="006B3CB4" w:rsidP="007440E7">
            <w:pPr>
              <w:spacing w:before="40" w:after="40"/>
              <w:rPr>
                <w:rFonts w:cs="Arial"/>
              </w:rPr>
            </w:pPr>
            <w:r w:rsidRPr="00E01003">
              <w:rPr>
                <w:rFonts w:cs="Arial"/>
                <w:w w:val="105"/>
              </w:rPr>
              <w:t>9i Aktywne włączenie, w tym z myślą o promowaniu równych szans oraz aktywnego uczestnictwa i zwiększaniu szans na zatrudnienie</w:t>
            </w:r>
          </w:p>
        </w:tc>
      </w:tr>
      <w:tr w:rsidR="006B3CB4" w:rsidRPr="00E01003" w:rsidTr="007440E7">
        <w:trPr>
          <w:jc w:val="center"/>
        </w:trPr>
        <w:tc>
          <w:tcPr>
            <w:tcW w:w="1900" w:type="dxa"/>
            <w:shd w:val="clear" w:color="auto" w:fill="B4C6E7" w:themeFill="accent5" w:themeFillTint="66"/>
          </w:tcPr>
          <w:p w:rsidR="006B3CB4" w:rsidRPr="00E01003" w:rsidRDefault="006B3CB4" w:rsidP="007440E7">
            <w:pPr>
              <w:spacing w:before="40" w:after="40"/>
              <w:rPr>
                <w:rFonts w:cs="Arial"/>
              </w:rPr>
            </w:pPr>
            <w:r w:rsidRPr="00E01003">
              <w:rPr>
                <w:rFonts w:cs="Arial"/>
              </w:rPr>
              <w:t>Działanie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6B3CB4" w:rsidRPr="00E01003" w:rsidRDefault="008218C2" w:rsidP="007440E7">
            <w:pPr>
              <w:spacing w:before="40" w:after="40"/>
              <w:rPr>
                <w:rFonts w:cs="Arial"/>
              </w:rPr>
            </w:pPr>
            <w:r w:rsidRPr="00AE1BCA">
              <w:rPr>
                <w:rFonts w:eastAsia="MyriadPro-Regular" w:cs="Arial"/>
              </w:rPr>
              <w:t>7.6 Wsparcie rozwoju usług społecznych świadczonych w interesie ogólnym</w:t>
            </w:r>
          </w:p>
        </w:tc>
      </w:tr>
      <w:tr w:rsidR="006B3CB4" w:rsidRPr="00E01003" w:rsidTr="007440E7">
        <w:trPr>
          <w:jc w:val="center"/>
        </w:trPr>
        <w:tc>
          <w:tcPr>
            <w:tcW w:w="1900" w:type="dxa"/>
            <w:shd w:val="clear" w:color="auto" w:fill="B4C6E7" w:themeFill="accent5" w:themeFillTint="66"/>
          </w:tcPr>
          <w:p w:rsidR="006B3CB4" w:rsidRPr="00E01003" w:rsidRDefault="006B3CB4" w:rsidP="007440E7">
            <w:pPr>
              <w:spacing w:before="40" w:after="40"/>
              <w:rPr>
                <w:rFonts w:cs="Arial"/>
              </w:rPr>
            </w:pPr>
            <w:r w:rsidRPr="00E01003">
              <w:rPr>
                <w:rFonts w:cs="Arial"/>
              </w:rPr>
              <w:t>Typ projektu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2A3304" w:rsidRDefault="005E10E3" w:rsidP="002A3304">
            <w:pPr>
              <w:rPr>
                <w:rFonts w:ascii="Arial" w:hAnsi="Arial" w:cs="Arial"/>
                <w:color w:val="1F497D"/>
              </w:rPr>
            </w:pPr>
            <w:r w:rsidRPr="00D41B69">
              <w:rPr>
                <w:rFonts w:eastAsia="MyriadPro-Regular" w:cs="Arial"/>
              </w:rPr>
              <w:t xml:space="preserve">4. </w:t>
            </w:r>
            <w:r w:rsidR="002A3304">
              <w:rPr>
                <w:rFonts w:ascii="Arial" w:hAnsi="Arial" w:cs="Arial"/>
                <w:color w:val="1F497D"/>
              </w:rPr>
              <w:t>Walka z wykluczeniem transportowym poprzez realizację projektu pilotażowego „Transport na życzenie” zakładającego finansowanie wydatków związanych ze świadczeniem usług transportowych  w zakresie:</w:t>
            </w:r>
          </w:p>
          <w:p w:rsidR="002A3304" w:rsidRDefault="002A3304" w:rsidP="002A3304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color w:val="1F497D"/>
              </w:rPr>
            </w:pPr>
            <w:r w:rsidRPr="002A3304">
              <w:rPr>
                <w:rFonts w:ascii="Arial" w:hAnsi="Arial" w:cs="Arial"/>
                <w:color w:val="1F497D"/>
              </w:rPr>
              <w:t>wydatków związanych z wyłonieniem operatora oraz dostarczaniem usługi transportu na życzenie (w szczególności koszty przejazdów, koszty związane z postępowaniem przetargowym dotyczące wyłonienia operatora, w tym koszty doradztwa prawnego);</w:t>
            </w:r>
          </w:p>
          <w:p w:rsidR="002A3304" w:rsidRPr="002A3304" w:rsidRDefault="002A3304" w:rsidP="002A3304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color w:val="1F497D"/>
              </w:rPr>
            </w:pPr>
            <w:r w:rsidRPr="002A3304">
              <w:rPr>
                <w:rFonts w:ascii="Arial" w:hAnsi="Arial" w:cs="Arial"/>
                <w:color w:val="1F497D"/>
                <w:szCs w:val="20"/>
              </w:rPr>
              <w:t xml:space="preserve">wydatki związane z uruchomieniem dyspozytorni (w szczególności zakup lub leasing sprzętu komputerowego, oprogramowania, </w:t>
            </w:r>
            <w:proofErr w:type="spellStart"/>
            <w:r w:rsidRPr="002A3304">
              <w:rPr>
                <w:rFonts w:ascii="Arial" w:hAnsi="Arial" w:cs="Arial"/>
                <w:color w:val="1F497D"/>
                <w:szCs w:val="20"/>
              </w:rPr>
              <w:t>gps</w:t>
            </w:r>
            <w:proofErr w:type="spellEnd"/>
            <w:r w:rsidRPr="002A3304">
              <w:rPr>
                <w:rFonts w:ascii="Arial" w:hAnsi="Arial" w:cs="Arial"/>
                <w:color w:val="1F497D"/>
                <w:szCs w:val="20"/>
              </w:rPr>
              <w:t>, remont/adaptacja  pomieszczenia przeznaczonego na dyspozytornię, koszty zatrudnienia dyspozytora oraz wyposażenia jego stanowiska pracy).</w:t>
            </w:r>
          </w:p>
          <w:p w:rsidR="006B3CB4" w:rsidRPr="00B0068D" w:rsidRDefault="006B3CB4" w:rsidP="0075470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6B3CB4" w:rsidRPr="00943641" w:rsidRDefault="006B3CB4" w:rsidP="006B3CB4">
      <w:pPr>
        <w:spacing w:after="0"/>
        <w:rPr>
          <w:rFonts w:ascii="Myriad Pro" w:hAnsi="Myriad Pro"/>
          <w:b/>
          <w:sz w:val="20"/>
        </w:rPr>
      </w:pPr>
    </w:p>
    <w:tbl>
      <w:tblPr>
        <w:tblStyle w:val="Tabela-Siatka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2808"/>
        <w:gridCol w:w="6237"/>
        <w:gridCol w:w="4591"/>
      </w:tblGrid>
      <w:tr w:rsidR="006B3CB4" w:rsidRPr="00943641" w:rsidTr="007440E7">
        <w:trPr>
          <w:jc w:val="center"/>
        </w:trPr>
        <w:tc>
          <w:tcPr>
            <w:tcW w:w="14175" w:type="dxa"/>
            <w:gridSpan w:val="4"/>
            <w:shd w:val="pct10" w:color="auto" w:fill="auto"/>
            <w:vAlign w:val="center"/>
          </w:tcPr>
          <w:p w:rsidR="006B3CB4" w:rsidRPr="00943641" w:rsidRDefault="006B3CB4" w:rsidP="007440E7">
            <w:pPr>
              <w:spacing w:before="40" w:after="40"/>
              <w:jc w:val="center"/>
              <w:rPr>
                <w:rFonts w:cs="Arial"/>
                <w:b/>
              </w:rPr>
            </w:pPr>
            <w:r w:rsidRPr="00943641">
              <w:rPr>
                <w:rFonts w:cs="Arial"/>
                <w:b/>
              </w:rPr>
              <w:t>Kryteria dopuszczalności</w:t>
            </w:r>
          </w:p>
        </w:tc>
      </w:tr>
      <w:tr w:rsidR="006B3CB4" w:rsidRPr="00943641" w:rsidTr="007440E7">
        <w:trPr>
          <w:jc w:val="center"/>
        </w:trPr>
        <w:tc>
          <w:tcPr>
            <w:tcW w:w="539" w:type="dxa"/>
          </w:tcPr>
          <w:p w:rsidR="006B3CB4" w:rsidRPr="00943641" w:rsidRDefault="006B3CB4" w:rsidP="007440E7">
            <w:pPr>
              <w:spacing w:before="40" w:after="40"/>
              <w:rPr>
                <w:rFonts w:cs="Arial"/>
              </w:rPr>
            </w:pPr>
            <w:r w:rsidRPr="00943641">
              <w:rPr>
                <w:rFonts w:cs="Arial"/>
              </w:rPr>
              <w:t>L.p.</w:t>
            </w:r>
          </w:p>
        </w:tc>
        <w:tc>
          <w:tcPr>
            <w:tcW w:w="2808" w:type="dxa"/>
            <w:vAlign w:val="center"/>
          </w:tcPr>
          <w:p w:rsidR="006B3CB4" w:rsidRPr="00943641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943641">
              <w:rPr>
                <w:rFonts w:cs="Arial"/>
              </w:rPr>
              <w:t>Nazwa kryterium</w:t>
            </w:r>
          </w:p>
        </w:tc>
        <w:tc>
          <w:tcPr>
            <w:tcW w:w="6237" w:type="dxa"/>
            <w:vAlign w:val="center"/>
          </w:tcPr>
          <w:p w:rsidR="006B3CB4" w:rsidRPr="00943641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943641">
              <w:rPr>
                <w:rFonts w:cs="Arial"/>
              </w:rPr>
              <w:t>Definicja kryterium</w:t>
            </w:r>
          </w:p>
        </w:tc>
        <w:tc>
          <w:tcPr>
            <w:tcW w:w="4591" w:type="dxa"/>
            <w:vAlign w:val="center"/>
          </w:tcPr>
          <w:p w:rsidR="006B3CB4" w:rsidRPr="00943641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943641">
              <w:rPr>
                <w:rFonts w:cs="Arial"/>
              </w:rPr>
              <w:t>Opis znaczenia kryterium</w:t>
            </w:r>
          </w:p>
        </w:tc>
      </w:tr>
      <w:tr w:rsidR="006B3CB4" w:rsidRPr="00943641" w:rsidTr="007440E7">
        <w:trPr>
          <w:jc w:val="center"/>
        </w:trPr>
        <w:tc>
          <w:tcPr>
            <w:tcW w:w="539" w:type="dxa"/>
          </w:tcPr>
          <w:p w:rsidR="006B3CB4" w:rsidRPr="00943641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943641">
              <w:rPr>
                <w:rFonts w:cs="Arial"/>
              </w:rPr>
              <w:t>1</w:t>
            </w:r>
          </w:p>
        </w:tc>
        <w:tc>
          <w:tcPr>
            <w:tcW w:w="2808" w:type="dxa"/>
            <w:vAlign w:val="center"/>
          </w:tcPr>
          <w:p w:rsidR="006B3CB4" w:rsidRPr="00943641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943641">
              <w:rPr>
                <w:rFonts w:cs="Arial"/>
              </w:rPr>
              <w:t>2</w:t>
            </w:r>
          </w:p>
        </w:tc>
        <w:tc>
          <w:tcPr>
            <w:tcW w:w="6237" w:type="dxa"/>
            <w:vAlign w:val="center"/>
          </w:tcPr>
          <w:p w:rsidR="006B3CB4" w:rsidRPr="00943641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943641">
              <w:rPr>
                <w:rFonts w:cs="Arial"/>
              </w:rPr>
              <w:t>3</w:t>
            </w:r>
          </w:p>
        </w:tc>
        <w:tc>
          <w:tcPr>
            <w:tcW w:w="4591" w:type="dxa"/>
            <w:vAlign w:val="center"/>
          </w:tcPr>
          <w:p w:rsidR="006B3CB4" w:rsidRPr="00943641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943641">
              <w:rPr>
                <w:rFonts w:cs="Arial"/>
              </w:rPr>
              <w:t>4</w:t>
            </w:r>
          </w:p>
        </w:tc>
      </w:tr>
      <w:tr w:rsidR="00130209" w:rsidRPr="00943641" w:rsidTr="007440E7">
        <w:trPr>
          <w:jc w:val="center"/>
        </w:trPr>
        <w:tc>
          <w:tcPr>
            <w:tcW w:w="539" w:type="dxa"/>
          </w:tcPr>
          <w:p w:rsidR="00130209" w:rsidRPr="00943641" w:rsidRDefault="00130209" w:rsidP="006B3CB4">
            <w:pPr>
              <w:pStyle w:val="Akapitzlist"/>
              <w:numPr>
                <w:ilvl w:val="0"/>
                <w:numId w:val="5"/>
              </w:numPr>
              <w:spacing w:before="40" w:after="40"/>
              <w:ind w:left="0" w:firstLine="0"/>
              <w:contextualSpacing w:val="0"/>
              <w:rPr>
                <w:rFonts w:cs="Arial"/>
              </w:rPr>
            </w:pPr>
          </w:p>
        </w:tc>
        <w:tc>
          <w:tcPr>
            <w:tcW w:w="2808" w:type="dxa"/>
          </w:tcPr>
          <w:p w:rsidR="00130209" w:rsidRPr="00E64C13" w:rsidRDefault="00130209" w:rsidP="002C7EF0">
            <w:pPr>
              <w:spacing w:before="40" w:after="40"/>
              <w:rPr>
                <w:rFonts w:ascii="Arial" w:hAnsi="Arial" w:cs="Arial"/>
              </w:rPr>
            </w:pPr>
            <w:r w:rsidRPr="00D16862">
              <w:rPr>
                <w:rFonts w:ascii="Arial" w:eastAsia="MyriadPro-Regular" w:hAnsi="Arial" w:cs="Arial"/>
              </w:rPr>
              <w:t>Zgodność z typem</w:t>
            </w:r>
            <w:r>
              <w:rPr>
                <w:rFonts w:ascii="Arial" w:eastAsia="MyriadPro-Regular" w:hAnsi="Arial" w:cs="Arial"/>
              </w:rPr>
              <w:t xml:space="preserve"> </w:t>
            </w:r>
            <w:r w:rsidRPr="00D16862">
              <w:rPr>
                <w:rFonts w:ascii="Arial" w:eastAsia="MyriadPro-Regular" w:hAnsi="Arial" w:cs="Arial"/>
              </w:rPr>
              <w:t>projektu</w:t>
            </w:r>
            <w:r>
              <w:rPr>
                <w:rFonts w:ascii="Arial" w:eastAsia="MyriadPro-Regular" w:hAnsi="Arial" w:cs="Arial"/>
              </w:rPr>
              <w:t xml:space="preserve"> </w:t>
            </w:r>
            <w:r>
              <w:rPr>
                <w:rFonts w:ascii="Arial" w:hAnsi="Arial" w:cs="Arial"/>
              </w:rPr>
              <w:t>i rezultatami Działania.</w:t>
            </w:r>
          </w:p>
          <w:p w:rsidR="00130209" w:rsidRPr="00943641" w:rsidRDefault="00130209" w:rsidP="007440E7">
            <w:pPr>
              <w:spacing w:before="40" w:after="40"/>
              <w:jc w:val="both"/>
              <w:rPr>
                <w:rFonts w:cs="Arial"/>
              </w:rPr>
            </w:pPr>
          </w:p>
        </w:tc>
        <w:tc>
          <w:tcPr>
            <w:tcW w:w="6237" w:type="dxa"/>
          </w:tcPr>
          <w:p w:rsidR="00130209" w:rsidRPr="00124056" w:rsidRDefault="00130209" w:rsidP="002C7E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056">
              <w:rPr>
                <w:rFonts w:ascii="Arial" w:hAnsi="Arial" w:cs="Arial"/>
              </w:rPr>
              <w:t>Projekt jest zgodny z typem projektu</w:t>
            </w:r>
            <w:r w:rsidR="002A330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wskaźnikami dla danego Działania/typu projektu</w:t>
            </w:r>
            <w:r w:rsidRPr="00124056">
              <w:rPr>
                <w:rFonts w:ascii="Arial" w:hAnsi="Arial" w:cs="Arial"/>
              </w:rPr>
              <w:t xml:space="preserve"> wskazan</w:t>
            </w:r>
            <w:r>
              <w:rPr>
                <w:rFonts w:ascii="Arial" w:hAnsi="Arial" w:cs="Arial"/>
              </w:rPr>
              <w:t>ymi</w:t>
            </w:r>
            <w:r w:rsidRPr="00124056">
              <w:rPr>
                <w:rFonts w:ascii="Arial" w:hAnsi="Arial" w:cs="Arial"/>
              </w:rPr>
              <w:t xml:space="preserve"> w </w:t>
            </w:r>
            <w:r>
              <w:rPr>
                <w:rFonts w:ascii="Arial" w:hAnsi="Arial" w:cs="Arial"/>
              </w:rPr>
              <w:t xml:space="preserve">SOOP RPO WZ 2014-2020 oraz </w:t>
            </w:r>
            <w:r>
              <w:rPr>
                <w:rFonts w:ascii="Arial" w:hAnsi="Arial" w:cs="Arial"/>
                <w:i/>
                <w:iCs/>
              </w:rPr>
              <w:t>Wezwaniu do złożenia wniosku</w:t>
            </w:r>
            <w:r w:rsidRPr="00124056">
              <w:rPr>
                <w:rFonts w:ascii="Arial" w:hAnsi="Arial" w:cs="Arial"/>
                <w:i/>
                <w:iCs/>
              </w:rPr>
              <w:t>.</w:t>
            </w:r>
          </w:p>
          <w:p w:rsidR="00130209" w:rsidRPr="00943641" w:rsidRDefault="00130209" w:rsidP="007440E7">
            <w:pPr>
              <w:spacing w:before="40" w:after="40"/>
              <w:jc w:val="both"/>
              <w:rPr>
                <w:rFonts w:cs="Arial"/>
              </w:rPr>
            </w:pPr>
          </w:p>
        </w:tc>
        <w:tc>
          <w:tcPr>
            <w:tcW w:w="4591" w:type="dxa"/>
          </w:tcPr>
          <w:p w:rsidR="00130209" w:rsidRPr="00943641" w:rsidRDefault="00130209" w:rsidP="007440E7">
            <w:pPr>
              <w:spacing w:before="40" w:after="40"/>
              <w:jc w:val="both"/>
              <w:rPr>
                <w:rFonts w:cs="Arial"/>
              </w:rPr>
            </w:pPr>
            <w:r w:rsidRPr="00943641">
              <w:rPr>
                <w:rFonts w:cs="Arial"/>
              </w:rPr>
              <w:t>Spełnienie kryterium jest konieczne do przyznania dofinansowania.</w:t>
            </w:r>
          </w:p>
          <w:p w:rsidR="00130209" w:rsidRPr="00943641" w:rsidRDefault="00130209" w:rsidP="007440E7">
            <w:pPr>
              <w:spacing w:before="40" w:after="40"/>
              <w:jc w:val="both"/>
              <w:rPr>
                <w:rFonts w:cs="Arial"/>
              </w:rPr>
            </w:pPr>
            <w:r w:rsidRPr="00943641">
              <w:rPr>
                <w:rFonts w:cs="Arial"/>
              </w:rPr>
              <w:t>Projekty niespełniające kryterium kierowane są do poprawy lub uzupełnienia.</w:t>
            </w:r>
          </w:p>
          <w:p w:rsidR="00130209" w:rsidRPr="00943641" w:rsidRDefault="00130209" w:rsidP="007440E7">
            <w:pPr>
              <w:spacing w:before="40" w:after="40"/>
              <w:contextualSpacing/>
              <w:jc w:val="both"/>
              <w:rPr>
                <w:rFonts w:cs="Arial"/>
              </w:rPr>
            </w:pPr>
            <w:r w:rsidRPr="00943641">
              <w:rPr>
                <w:rFonts w:cs="Arial"/>
              </w:rPr>
              <w:t>Ocena spełniania kryterium polega na przypisaniu wartości logicznych „tak”, „nie”.</w:t>
            </w:r>
          </w:p>
        </w:tc>
      </w:tr>
      <w:tr w:rsidR="006B3CB4" w:rsidRPr="00943641" w:rsidTr="007440E7">
        <w:trPr>
          <w:jc w:val="center"/>
        </w:trPr>
        <w:tc>
          <w:tcPr>
            <w:tcW w:w="539" w:type="dxa"/>
          </w:tcPr>
          <w:p w:rsidR="006B3CB4" w:rsidRPr="00943641" w:rsidRDefault="006B3CB4" w:rsidP="006B3CB4">
            <w:pPr>
              <w:pStyle w:val="Akapitzlist"/>
              <w:numPr>
                <w:ilvl w:val="0"/>
                <w:numId w:val="5"/>
              </w:numPr>
              <w:spacing w:after="0"/>
              <w:ind w:left="0" w:firstLine="0"/>
              <w:contextualSpacing w:val="0"/>
              <w:rPr>
                <w:rFonts w:cs="Arial"/>
              </w:rPr>
            </w:pPr>
          </w:p>
        </w:tc>
        <w:tc>
          <w:tcPr>
            <w:tcW w:w="2808" w:type="dxa"/>
          </w:tcPr>
          <w:p w:rsidR="006B3CB4" w:rsidRPr="00943641" w:rsidRDefault="006B3CB4" w:rsidP="007440E7">
            <w:pPr>
              <w:rPr>
                <w:rFonts w:cs="Arial"/>
              </w:rPr>
            </w:pPr>
            <w:r w:rsidRPr="00943641">
              <w:rPr>
                <w:rFonts w:cs="Arial"/>
              </w:rPr>
              <w:t>Kwalifikowalność Beneficjenta/ Partnera (jeśli dotyczy)</w:t>
            </w:r>
          </w:p>
        </w:tc>
        <w:tc>
          <w:tcPr>
            <w:tcW w:w="6237" w:type="dxa"/>
          </w:tcPr>
          <w:p w:rsidR="006B3CB4" w:rsidRPr="00943641" w:rsidRDefault="006B3CB4" w:rsidP="007440E7">
            <w:pPr>
              <w:autoSpaceDE w:val="0"/>
              <w:autoSpaceDN w:val="0"/>
              <w:adjustRightInd w:val="0"/>
              <w:jc w:val="both"/>
              <w:rPr>
                <w:rFonts w:eastAsia="MyriadPro-Regular" w:cs="Arial"/>
              </w:rPr>
            </w:pPr>
            <w:r w:rsidRPr="00943641">
              <w:rPr>
                <w:rFonts w:eastAsia="MyriadPro-Regular" w:cs="Arial"/>
              </w:rPr>
              <w:t xml:space="preserve">Beneficjent, zgodnie z </w:t>
            </w:r>
            <w:r w:rsidRPr="00943641">
              <w:rPr>
                <w:rFonts w:eastAsia="MyriadPro-Regular" w:cs="Arial"/>
                <w:i/>
              </w:rPr>
              <w:t>SOOP RPO WZ 2014-2020</w:t>
            </w:r>
            <w:r w:rsidRPr="00943641">
              <w:rPr>
                <w:rFonts w:eastAsia="MyriadPro-Regular" w:cs="Arial"/>
              </w:rPr>
              <w:t>, jest podmiotem uprawnionym do ubiegania się o dofinansowanie w ramach Działania typu/ów projektu/ów, w którym ogłoszony został nabór.</w:t>
            </w:r>
          </w:p>
          <w:p w:rsidR="006B3CB4" w:rsidRPr="00943641" w:rsidRDefault="006B3CB4" w:rsidP="007440E7">
            <w:pPr>
              <w:autoSpaceDE w:val="0"/>
              <w:autoSpaceDN w:val="0"/>
              <w:adjustRightInd w:val="0"/>
              <w:jc w:val="both"/>
              <w:rPr>
                <w:rFonts w:eastAsia="Malgun Gothic" w:cs="Arial"/>
              </w:rPr>
            </w:pPr>
            <w:r w:rsidRPr="00943641">
              <w:rPr>
                <w:rFonts w:eastAsia="Malgun Gothic" w:cs="Arial"/>
              </w:rPr>
              <w:lastRenderedPageBreak/>
              <w:t>Partner/rzy nie podlega/ją wykluczeniu z możliwości ubiegania się o dofinansowanie, w tym wykluczeniu, o którym mowa w art. 207 ust. 4 ustawy z dnia 27 sierpnia 2009 r., o finansach publicznych.</w:t>
            </w:r>
          </w:p>
          <w:p w:rsidR="009D2211" w:rsidRPr="00680EB7" w:rsidRDefault="006B3CB4" w:rsidP="00076A4F">
            <w:pPr>
              <w:autoSpaceDE w:val="0"/>
              <w:autoSpaceDN w:val="0"/>
              <w:adjustRightInd w:val="0"/>
              <w:jc w:val="both"/>
            </w:pPr>
            <w:r w:rsidRPr="00943641">
              <w:rPr>
                <w:rFonts w:eastAsia="MyriadPro-Regular" w:cs="Arial"/>
              </w:rPr>
              <w:t xml:space="preserve">W przypadku partnera stanowiącego podmiot,  o którym mowa w art. </w:t>
            </w:r>
            <w:r w:rsidRPr="00943641">
              <w:rPr>
                <w:rFonts w:eastAsia="Malgun Gothic" w:cs="Arial"/>
              </w:rPr>
              <w:t xml:space="preserve">207 ust. 7 ustawy z dnia 27 sierpnia 2009 r., o finansach publicznych </w:t>
            </w:r>
            <w:r w:rsidRPr="00943641">
              <w:rPr>
                <w:rFonts w:eastAsia="MyriadPro-Regular" w:cs="Arial"/>
              </w:rPr>
              <w:t>kryterium dotyczące kwalifikowalności Partnera zostaje automatycznie uznane za spełnione.</w:t>
            </w:r>
          </w:p>
        </w:tc>
        <w:tc>
          <w:tcPr>
            <w:tcW w:w="4591" w:type="dxa"/>
          </w:tcPr>
          <w:p w:rsidR="006B3CB4" w:rsidRPr="00943641" w:rsidRDefault="006B3CB4" w:rsidP="007440E7">
            <w:pPr>
              <w:autoSpaceDE w:val="0"/>
              <w:autoSpaceDN w:val="0"/>
              <w:adjustRightInd w:val="0"/>
              <w:jc w:val="both"/>
              <w:rPr>
                <w:rFonts w:eastAsia="Malgun Gothic" w:cs="Arial"/>
              </w:rPr>
            </w:pPr>
            <w:r w:rsidRPr="00943641">
              <w:rPr>
                <w:rFonts w:eastAsia="Malgun Gothic" w:cs="Arial"/>
              </w:rPr>
              <w:lastRenderedPageBreak/>
              <w:t>Spełnienie kryterium jest konieczne do przyznania dofinansowania.</w:t>
            </w:r>
          </w:p>
          <w:p w:rsidR="006B3CB4" w:rsidRPr="00943641" w:rsidRDefault="006B3CB4" w:rsidP="007440E7">
            <w:pPr>
              <w:autoSpaceDE w:val="0"/>
              <w:autoSpaceDN w:val="0"/>
              <w:adjustRightInd w:val="0"/>
              <w:jc w:val="both"/>
              <w:rPr>
                <w:rFonts w:eastAsia="Malgun Gothic" w:cs="Arial"/>
              </w:rPr>
            </w:pPr>
            <w:r w:rsidRPr="00943641">
              <w:rPr>
                <w:rFonts w:eastAsia="Malgun Gothic" w:cs="Arial"/>
              </w:rPr>
              <w:t xml:space="preserve">Projekty niespełniające kryterium kierowane są do </w:t>
            </w:r>
            <w:r w:rsidRPr="00943641">
              <w:rPr>
                <w:rFonts w:eastAsia="Malgun Gothic" w:cs="Arial"/>
              </w:rPr>
              <w:lastRenderedPageBreak/>
              <w:t>poprawy lub uzupełnienia.</w:t>
            </w:r>
          </w:p>
          <w:p w:rsidR="006B3CB4" w:rsidRPr="00943641" w:rsidRDefault="006B3CB4" w:rsidP="007440E7">
            <w:pPr>
              <w:autoSpaceDE w:val="0"/>
              <w:autoSpaceDN w:val="0"/>
              <w:adjustRightInd w:val="0"/>
              <w:jc w:val="both"/>
              <w:rPr>
                <w:rFonts w:eastAsia="Malgun Gothic" w:cs="Arial"/>
              </w:rPr>
            </w:pPr>
            <w:r w:rsidRPr="00943641">
              <w:rPr>
                <w:rFonts w:cs="Arial"/>
              </w:rPr>
              <w:t xml:space="preserve">Kryterium będzie weryfikowane na etapie oceny, na dzień podpisania umowy oraz w przypadku zmiany Partnera (jeśli dotyczy). </w:t>
            </w:r>
          </w:p>
          <w:p w:rsidR="006B3CB4" w:rsidRPr="00943641" w:rsidRDefault="006B3CB4" w:rsidP="007440E7">
            <w:pPr>
              <w:autoSpaceDE w:val="0"/>
              <w:autoSpaceDN w:val="0"/>
              <w:adjustRightInd w:val="0"/>
              <w:jc w:val="both"/>
              <w:rPr>
                <w:rFonts w:eastAsia="Malgun Gothic" w:cs="Arial"/>
              </w:rPr>
            </w:pPr>
            <w:r w:rsidRPr="00943641">
              <w:rPr>
                <w:rFonts w:eastAsia="Malgun Gothic" w:cs="Arial"/>
              </w:rPr>
              <w:t>Ocena spełniania kryterium polega na przypisaniu wartości logicznych „tak”, „nie”</w:t>
            </w:r>
            <w:r w:rsidRPr="00943641">
              <w:rPr>
                <w:rFonts w:cs="Arial"/>
              </w:rPr>
              <w:t xml:space="preserve">. </w:t>
            </w:r>
          </w:p>
        </w:tc>
      </w:tr>
      <w:tr w:rsidR="006B3CB4" w:rsidRPr="00943641" w:rsidTr="007440E7">
        <w:trPr>
          <w:jc w:val="center"/>
        </w:trPr>
        <w:tc>
          <w:tcPr>
            <w:tcW w:w="539" w:type="dxa"/>
          </w:tcPr>
          <w:p w:rsidR="006B3CB4" w:rsidRPr="00943641" w:rsidRDefault="006B3CB4" w:rsidP="006B3CB4">
            <w:pPr>
              <w:pStyle w:val="Akapitzlist"/>
              <w:numPr>
                <w:ilvl w:val="0"/>
                <w:numId w:val="5"/>
              </w:numPr>
              <w:spacing w:after="0"/>
              <w:ind w:left="0" w:firstLine="0"/>
              <w:contextualSpacing w:val="0"/>
              <w:rPr>
                <w:rFonts w:cs="Arial"/>
              </w:rPr>
            </w:pPr>
          </w:p>
        </w:tc>
        <w:tc>
          <w:tcPr>
            <w:tcW w:w="2808" w:type="dxa"/>
          </w:tcPr>
          <w:p w:rsidR="006B3CB4" w:rsidRPr="00943641" w:rsidRDefault="006B3CB4" w:rsidP="007440E7">
            <w:pPr>
              <w:spacing w:before="40" w:after="40"/>
              <w:rPr>
                <w:rFonts w:cs="Arial"/>
              </w:rPr>
            </w:pPr>
            <w:r w:rsidRPr="00943641">
              <w:rPr>
                <w:rFonts w:cs="Arial"/>
              </w:rPr>
              <w:t>Zgodność z zasadami horyzontalnymi.</w:t>
            </w:r>
          </w:p>
        </w:tc>
        <w:tc>
          <w:tcPr>
            <w:tcW w:w="6237" w:type="dxa"/>
          </w:tcPr>
          <w:p w:rsidR="006B3CB4" w:rsidRPr="00943641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943641">
              <w:rPr>
                <w:rFonts w:cs="Arial"/>
              </w:rPr>
              <w:t>Projekt jest zgodny z:</w:t>
            </w:r>
          </w:p>
          <w:p w:rsidR="006B3CB4" w:rsidRPr="00943641" w:rsidRDefault="006B3CB4" w:rsidP="006B3CB4">
            <w:pPr>
              <w:pStyle w:val="Akapitzlist"/>
              <w:numPr>
                <w:ilvl w:val="0"/>
                <w:numId w:val="6"/>
              </w:numPr>
              <w:spacing w:before="40" w:after="40"/>
              <w:ind w:left="315" w:hanging="284"/>
              <w:contextualSpacing w:val="0"/>
              <w:jc w:val="both"/>
              <w:rPr>
                <w:rFonts w:cs="Arial"/>
              </w:rPr>
            </w:pPr>
            <w:r w:rsidRPr="00943641">
              <w:rPr>
                <w:rFonts w:cs="Arial"/>
              </w:rPr>
              <w:t>zasadą rów</w:t>
            </w:r>
            <w:r>
              <w:rPr>
                <w:rFonts w:cs="Arial"/>
              </w:rPr>
              <w:t xml:space="preserve">ności szans kobiet i mężczyzn, </w:t>
            </w:r>
            <w:r w:rsidRPr="00943641">
              <w:rPr>
                <w:rFonts w:cs="Arial"/>
              </w:rPr>
              <w:t xml:space="preserve">w oparciu o </w:t>
            </w:r>
            <w:r w:rsidRPr="00943641">
              <w:rPr>
                <w:rFonts w:cs="Arial"/>
                <w:i/>
              </w:rPr>
              <w:t>standard minimum</w:t>
            </w:r>
            <w:r w:rsidRPr="00943641">
              <w:rPr>
                <w:rFonts w:cs="Arial"/>
              </w:rPr>
              <w:t>,</w:t>
            </w:r>
          </w:p>
          <w:p w:rsidR="006B3CB4" w:rsidRPr="00943641" w:rsidRDefault="006B3CB4" w:rsidP="006B3CB4">
            <w:pPr>
              <w:pStyle w:val="Akapitzlist"/>
              <w:numPr>
                <w:ilvl w:val="0"/>
                <w:numId w:val="6"/>
              </w:numPr>
              <w:spacing w:before="40" w:after="40"/>
              <w:ind w:left="315" w:hanging="284"/>
              <w:contextualSpacing w:val="0"/>
              <w:jc w:val="both"/>
              <w:rPr>
                <w:rFonts w:cs="Arial"/>
              </w:rPr>
            </w:pPr>
            <w:r w:rsidRPr="00943641">
              <w:rPr>
                <w:rFonts w:cs="Arial"/>
              </w:rPr>
              <w:t xml:space="preserve">właściwymi politykami i zasadami wspólnotowymi: </w:t>
            </w:r>
          </w:p>
          <w:p w:rsidR="006B3CB4" w:rsidRPr="00943641" w:rsidRDefault="006B3CB4" w:rsidP="006B3CB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eastAsia="MyriadPro-Regular" w:cs="Arial"/>
              </w:rPr>
            </w:pPr>
            <w:r w:rsidRPr="00943641">
              <w:rPr>
                <w:rFonts w:eastAsia="MyriadPro-Regular" w:cs="Arial"/>
              </w:rPr>
              <w:t>zrównoważonego rozwoju,</w:t>
            </w:r>
          </w:p>
          <w:p w:rsidR="006B3CB4" w:rsidRPr="00943641" w:rsidRDefault="006B3CB4" w:rsidP="006B3CB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eastAsia="MyriadPro-Regular" w:cs="Arial"/>
              </w:rPr>
            </w:pPr>
            <w:r w:rsidRPr="00943641">
              <w:rPr>
                <w:rFonts w:eastAsia="MyriadPro-Regular" w:cs="Arial"/>
              </w:rPr>
              <w:t>promowania i realizacji zasady równości szans i niedyskryminacji, w tym. m. in. koniecznością stosowania zasady uniwersalnego projektowania.</w:t>
            </w:r>
          </w:p>
          <w:p w:rsidR="006B3CB4" w:rsidRPr="00943641" w:rsidRDefault="006B3CB4" w:rsidP="007440E7">
            <w:pPr>
              <w:autoSpaceDE w:val="0"/>
              <w:autoSpaceDN w:val="0"/>
              <w:adjustRightInd w:val="0"/>
              <w:jc w:val="both"/>
              <w:rPr>
                <w:rFonts w:eastAsia="MyriadPro-Regular" w:cs="Arial"/>
              </w:rPr>
            </w:pPr>
            <w:r w:rsidRPr="00943641">
              <w:rPr>
                <w:rFonts w:eastAsia="MyriadPro-Regular" w:cs="Arial"/>
              </w:rPr>
              <w:t>Uniwersalne projektowanie to projektowanie produktów, środowiska, programów i usług w taki sposób, by były użyteczne dla wszystkich, w możliwie największym stopniu, bez potrzeby późniejszej adaptacji lub specjalistycznego projektowania. Projekt zakłada dostępność dla jak najszerszego grona odbiorców, w szczególności osób z niepełnosprawnościami.</w:t>
            </w:r>
          </w:p>
        </w:tc>
        <w:tc>
          <w:tcPr>
            <w:tcW w:w="4591" w:type="dxa"/>
          </w:tcPr>
          <w:p w:rsidR="006B3CB4" w:rsidRPr="00943641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943641">
              <w:rPr>
                <w:rFonts w:cs="Arial"/>
              </w:rPr>
              <w:t>Spełnienie kryterium jest konieczne do przyznania dofinansowania.</w:t>
            </w:r>
          </w:p>
          <w:p w:rsidR="006B3CB4" w:rsidRPr="00943641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943641">
              <w:rPr>
                <w:rFonts w:cs="Arial"/>
              </w:rPr>
              <w:t>Projekty niespełniające kryterium kierowane są do poprawy lub uzupełnienia.</w:t>
            </w:r>
          </w:p>
          <w:p w:rsidR="006B3CB4" w:rsidRPr="00943641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943641">
              <w:rPr>
                <w:rFonts w:cs="Arial"/>
              </w:rPr>
              <w:t>Ocena spełniania kryterium polega na przypisaniu wartości logicznych „tak”, „nie”.</w:t>
            </w:r>
          </w:p>
        </w:tc>
      </w:tr>
    </w:tbl>
    <w:p w:rsidR="006B3CB4" w:rsidRDefault="006B3CB4" w:rsidP="006B3CB4">
      <w:pPr>
        <w:spacing w:after="0"/>
        <w:rPr>
          <w:rFonts w:ascii="Myriad Pro" w:hAnsi="Myriad Pro"/>
          <w:b/>
          <w:sz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840"/>
        <w:gridCol w:w="6237"/>
        <w:gridCol w:w="4591"/>
      </w:tblGrid>
      <w:tr w:rsidR="006B3CB4" w:rsidRPr="007A614C" w:rsidTr="007440E7">
        <w:trPr>
          <w:jc w:val="center"/>
        </w:trPr>
        <w:tc>
          <w:tcPr>
            <w:tcW w:w="14175" w:type="dxa"/>
            <w:gridSpan w:val="4"/>
            <w:shd w:val="clear" w:color="auto" w:fill="D9D9D9" w:themeFill="background1" w:themeFillShade="D9"/>
            <w:vAlign w:val="center"/>
          </w:tcPr>
          <w:p w:rsidR="006B3CB4" w:rsidRPr="007A614C" w:rsidRDefault="006B3CB4" w:rsidP="007440E7">
            <w:pPr>
              <w:spacing w:before="40" w:after="40" w:line="240" w:lineRule="auto"/>
              <w:jc w:val="center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b/>
                <w:sz w:val="20"/>
              </w:rPr>
              <w:t>Kryteria wykonalności</w:t>
            </w:r>
          </w:p>
        </w:tc>
      </w:tr>
      <w:tr w:rsidR="006B3CB4" w:rsidRPr="007A614C" w:rsidTr="007440E7">
        <w:trPr>
          <w:jc w:val="center"/>
        </w:trPr>
        <w:tc>
          <w:tcPr>
            <w:tcW w:w="507" w:type="dxa"/>
          </w:tcPr>
          <w:p w:rsidR="006B3CB4" w:rsidRPr="007A614C" w:rsidRDefault="006B3CB4" w:rsidP="007440E7">
            <w:pPr>
              <w:spacing w:before="40" w:after="40" w:line="240" w:lineRule="auto"/>
              <w:ind w:left="-22" w:right="-113" w:firstLine="22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L.p.</w:t>
            </w:r>
          </w:p>
        </w:tc>
        <w:tc>
          <w:tcPr>
            <w:tcW w:w="2840" w:type="dxa"/>
            <w:vAlign w:val="center"/>
          </w:tcPr>
          <w:p w:rsidR="006B3CB4" w:rsidRPr="007A614C" w:rsidRDefault="006B3CB4" w:rsidP="007440E7">
            <w:pPr>
              <w:spacing w:before="40" w:after="40" w:line="240" w:lineRule="auto"/>
              <w:jc w:val="center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Nazwa kryterium</w:t>
            </w:r>
          </w:p>
        </w:tc>
        <w:tc>
          <w:tcPr>
            <w:tcW w:w="6237" w:type="dxa"/>
            <w:vAlign w:val="center"/>
          </w:tcPr>
          <w:p w:rsidR="006B3CB4" w:rsidRPr="007A614C" w:rsidRDefault="006B3CB4" w:rsidP="007440E7">
            <w:pPr>
              <w:spacing w:before="40" w:after="40" w:line="240" w:lineRule="auto"/>
              <w:jc w:val="center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Definicja kryterium</w:t>
            </w:r>
          </w:p>
        </w:tc>
        <w:tc>
          <w:tcPr>
            <w:tcW w:w="4591" w:type="dxa"/>
            <w:vAlign w:val="center"/>
          </w:tcPr>
          <w:p w:rsidR="006B3CB4" w:rsidRPr="007A614C" w:rsidRDefault="006B3CB4" w:rsidP="007440E7">
            <w:pPr>
              <w:spacing w:before="40" w:after="40" w:line="240" w:lineRule="auto"/>
              <w:jc w:val="center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Opis znaczenia kryterium</w:t>
            </w:r>
          </w:p>
        </w:tc>
      </w:tr>
      <w:tr w:rsidR="006B3CB4" w:rsidRPr="007A614C" w:rsidTr="007440E7">
        <w:trPr>
          <w:jc w:val="center"/>
        </w:trPr>
        <w:tc>
          <w:tcPr>
            <w:tcW w:w="507" w:type="dxa"/>
          </w:tcPr>
          <w:p w:rsidR="006B3CB4" w:rsidRPr="007A614C" w:rsidRDefault="006B3CB4" w:rsidP="007440E7">
            <w:pPr>
              <w:spacing w:before="40" w:after="40" w:line="240" w:lineRule="auto"/>
              <w:jc w:val="center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1</w:t>
            </w:r>
          </w:p>
        </w:tc>
        <w:tc>
          <w:tcPr>
            <w:tcW w:w="2840" w:type="dxa"/>
            <w:vAlign w:val="center"/>
          </w:tcPr>
          <w:p w:rsidR="006B3CB4" w:rsidRPr="007A614C" w:rsidRDefault="006B3CB4" w:rsidP="007440E7">
            <w:pPr>
              <w:spacing w:before="40" w:after="40" w:line="240" w:lineRule="auto"/>
              <w:jc w:val="center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2</w:t>
            </w:r>
          </w:p>
        </w:tc>
        <w:tc>
          <w:tcPr>
            <w:tcW w:w="6237" w:type="dxa"/>
            <w:vAlign w:val="center"/>
          </w:tcPr>
          <w:p w:rsidR="006B3CB4" w:rsidRPr="007A614C" w:rsidRDefault="006B3CB4" w:rsidP="007440E7">
            <w:pPr>
              <w:spacing w:before="40" w:after="40" w:line="240" w:lineRule="auto"/>
              <w:jc w:val="center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3</w:t>
            </w:r>
          </w:p>
        </w:tc>
        <w:tc>
          <w:tcPr>
            <w:tcW w:w="4591" w:type="dxa"/>
            <w:vAlign w:val="center"/>
          </w:tcPr>
          <w:p w:rsidR="006B3CB4" w:rsidRPr="007A614C" w:rsidRDefault="006B3CB4" w:rsidP="007440E7">
            <w:pPr>
              <w:spacing w:before="40" w:after="40" w:line="240" w:lineRule="auto"/>
              <w:jc w:val="center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4</w:t>
            </w:r>
          </w:p>
        </w:tc>
      </w:tr>
      <w:tr w:rsidR="006B3CB4" w:rsidRPr="006375E9" w:rsidTr="007440E7">
        <w:trPr>
          <w:jc w:val="center"/>
        </w:trPr>
        <w:tc>
          <w:tcPr>
            <w:tcW w:w="507" w:type="dxa"/>
          </w:tcPr>
          <w:p w:rsidR="006B3CB4" w:rsidRPr="007A614C" w:rsidRDefault="006B3CB4" w:rsidP="006B3CB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ind w:left="0" w:firstLine="0"/>
              <w:contextualSpacing w:val="0"/>
              <w:rPr>
                <w:rFonts w:cs="Arial"/>
              </w:rPr>
            </w:pPr>
          </w:p>
        </w:tc>
        <w:tc>
          <w:tcPr>
            <w:tcW w:w="2840" w:type="dxa"/>
            <w:shd w:val="clear" w:color="auto" w:fill="auto"/>
          </w:tcPr>
          <w:p w:rsidR="006B3CB4" w:rsidRPr="006375E9" w:rsidRDefault="006B3CB4" w:rsidP="006B3CB4">
            <w:pPr>
              <w:spacing w:before="40" w:after="40" w:line="240" w:lineRule="auto"/>
              <w:rPr>
                <w:rFonts w:ascii="Myriad Pro" w:hAnsi="Myriad Pro" w:cs="Arial"/>
                <w:sz w:val="20"/>
              </w:rPr>
            </w:pPr>
            <w:r w:rsidRPr="006375E9">
              <w:rPr>
                <w:rFonts w:ascii="Myriad Pro" w:hAnsi="Myriad Pro" w:cs="Arial"/>
                <w:sz w:val="20"/>
              </w:rPr>
              <w:t>Zgodność prawna</w:t>
            </w:r>
          </w:p>
        </w:tc>
        <w:tc>
          <w:tcPr>
            <w:tcW w:w="6237" w:type="dxa"/>
          </w:tcPr>
          <w:p w:rsidR="006B3CB4" w:rsidRPr="006375E9" w:rsidRDefault="006B3CB4" w:rsidP="006B3C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="MyriadPro-Regular" w:hAnsi="Myriad Pro" w:cs="Arial"/>
                <w:sz w:val="20"/>
              </w:rPr>
            </w:pPr>
            <w:r w:rsidRPr="006375E9">
              <w:rPr>
                <w:rFonts w:ascii="Myriad Pro" w:hAnsi="Myriad Pro" w:cs="Arial"/>
                <w:sz w:val="20"/>
              </w:rPr>
              <w:t xml:space="preserve">Projekt jest zgodny z prawodawstwem wspólnotowym i krajowym, </w:t>
            </w:r>
            <w:r w:rsidRPr="006375E9">
              <w:rPr>
                <w:rFonts w:ascii="Myriad Pro" w:hAnsi="Myriad Pro" w:cs="Arial"/>
                <w:sz w:val="20"/>
              </w:rPr>
              <w:br/>
              <w:t>w tym przepisami ustawy</w:t>
            </w:r>
            <w:r w:rsidRPr="006375E9">
              <w:rPr>
                <w:rFonts w:ascii="Myriad Pro" w:hAnsi="Myriad Pro" w:cs="Arial"/>
                <w:i/>
                <w:sz w:val="20"/>
              </w:rPr>
              <w:t xml:space="preserve"> </w:t>
            </w:r>
            <w:r w:rsidRPr="006375E9">
              <w:rPr>
                <w:rFonts w:ascii="Myriad Pro" w:hAnsi="Myriad Pro" w:cs="Arial"/>
                <w:sz w:val="20"/>
              </w:rPr>
              <w:t xml:space="preserve">z dnia 29 stycznia 2004 r. </w:t>
            </w:r>
            <w:r w:rsidRPr="006375E9">
              <w:rPr>
                <w:rFonts w:ascii="Myriad Pro" w:hAnsi="Myriad Pro" w:cs="Arial"/>
                <w:i/>
                <w:sz w:val="20"/>
              </w:rPr>
              <w:t>Prawo zamówień publicznych</w:t>
            </w:r>
            <w:r w:rsidRPr="006375E9">
              <w:rPr>
                <w:rFonts w:ascii="Myriad Pro" w:hAnsi="Myriad Pro" w:cs="Arial"/>
                <w:sz w:val="20"/>
              </w:rPr>
              <w:t>.</w:t>
            </w:r>
            <w:r w:rsidRPr="006375E9">
              <w:rPr>
                <w:rFonts w:ascii="Myriad Pro" w:eastAsia="MyriadPro-Regular" w:hAnsi="Myriad Pro" w:cs="Arial"/>
                <w:sz w:val="20"/>
              </w:rPr>
              <w:t xml:space="preserve"> </w:t>
            </w:r>
          </w:p>
          <w:p w:rsidR="006B3CB4" w:rsidRPr="006375E9" w:rsidRDefault="006B3CB4" w:rsidP="006B3CB4">
            <w:pPr>
              <w:autoSpaceDE w:val="0"/>
              <w:autoSpaceDN w:val="0"/>
              <w:adjustRightInd w:val="0"/>
              <w:jc w:val="both"/>
              <w:rPr>
                <w:rFonts w:ascii="Myriad Pro" w:eastAsia="MyriadPro-Regular" w:hAnsi="Myriad Pro" w:cs="Arial"/>
                <w:sz w:val="20"/>
              </w:rPr>
            </w:pPr>
          </w:p>
        </w:tc>
        <w:tc>
          <w:tcPr>
            <w:tcW w:w="4591" w:type="dxa"/>
          </w:tcPr>
          <w:p w:rsidR="006B3CB4" w:rsidRPr="006375E9" w:rsidRDefault="006B3CB4" w:rsidP="006B3CB4">
            <w:pPr>
              <w:spacing w:before="40" w:after="40" w:line="240" w:lineRule="auto"/>
              <w:ind w:left="34"/>
              <w:contextualSpacing/>
              <w:jc w:val="both"/>
              <w:rPr>
                <w:rFonts w:ascii="Myriad Pro" w:hAnsi="Myriad Pro" w:cs="Arial"/>
                <w:sz w:val="20"/>
              </w:rPr>
            </w:pPr>
            <w:r w:rsidRPr="006375E9">
              <w:rPr>
                <w:rFonts w:ascii="Myriad Pro" w:hAnsi="Myriad Pro" w:cs="Arial"/>
                <w:sz w:val="20"/>
              </w:rPr>
              <w:t>Spełnienie kryterium jest konieczne do przyznania dofinansowania.</w:t>
            </w:r>
          </w:p>
          <w:p w:rsidR="006B3CB4" w:rsidRPr="006375E9" w:rsidRDefault="006B3CB4" w:rsidP="006B3CB4">
            <w:pPr>
              <w:spacing w:before="40" w:after="40" w:line="240" w:lineRule="auto"/>
              <w:ind w:left="34"/>
              <w:contextualSpacing/>
              <w:jc w:val="both"/>
              <w:rPr>
                <w:rFonts w:ascii="Myriad Pro" w:hAnsi="Myriad Pro" w:cs="Arial"/>
                <w:sz w:val="20"/>
              </w:rPr>
            </w:pPr>
            <w:r w:rsidRPr="006375E9">
              <w:rPr>
                <w:rFonts w:ascii="Myriad Pro" w:hAnsi="Myriad Pro" w:cs="Arial"/>
                <w:sz w:val="20"/>
              </w:rPr>
              <w:t>Projekty niespełniające kryterium</w:t>
            </w:r>
            <w:r w:rsidR="00AE4B4D">
              <w:rPr>
                <w:rFonts w:ascii="Myriad Pro" w:hAnsi="Myriad Pro" w:cs="Arial"/>
                <w:sz w:val="20"/>
              </w:rPr>
              <w:t xml:space="preserve"> kierowane są do poprawy lub uzupełnienia.</w:t>
            </w:r>
            <w:r w:rsidRPr="006375E9">
              <w:rPr>
                <w:rFonts w:ascii="Myriad Pro" w:hAnsi="Myriad Pro" w:cs="Arial"/>
                <w:sz w:val="20"/>
              </w:rPr>
              <w:t>.</w:t>
            </w:r>
          </w:p>
          <w:p w:rsidR="006B3CB4" w:rsidRPr="006375E9" w:rsidRDefault="006B3CB4" w:rsidP="006B3CB4">
            <w:pPr>
              <w:spacing w:before="40" w:after="40" w:line="240" w:lineRule="auto"/>
              <w:ind w:left="34"/>
              <w:contextualSpacing/>
              <w:jc w:val="both"/>
              <w:rPr>
                <w:rFonts w:ascii="Myriad Pro" w:hAnsi="Myriad Pro" w:cs="Arial"/>
                <w:sz w:val="20"/>
              </w:rPr>
            </w:pPr>
            <w:r w:rsidRPr="006375E9">
              <w:rPr>
                <w:rFonts w:ascii="Myriad Pro" w:hAnsi="Myriad Pro" w:cs="Arial"/>
                <w:sz w:val="20"/>
              </w:rPr>
              <w:t>Ocena spełniania kryterium polega na przypisaniu wartości logicznych „tak”, „nie”.</w:t>
            </w:r>
          </w:p>
        </w:tc>
      </w:tr>
      <w:tr w:rsidR="00076A4F" w:rsidRPr="006375E9" w:rsidTr="007440E7">
        <w:trPr>
          <w:jc w:val="center"/>
        </w:trPr>
        <w:tc>
          <w:tcPr>
            <w:tcW w:w="507" w:type="dxa"/>
          </w:tcPr>
          <w:p w:rsidR="00076A4F" w:rsidRPr="007A614C" w:rsidRDefault="00076A4F" w:rsidP="006B3CB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ind w:left="0" w:firstLine="0"/>
              <w:contextualSpacing w:val="0"/>
              <w:rPr>
                <w:rFonts w:cs="Arial"/>
              </w:rPr>
            </w:pPr>
          </w:p>
        </w:tc>
        <w:tc>
          <w:tcPr>
            <w:tcW w:w="2840" w:type="dxa"/>
            <w:shd w:val="clear" w:color="auto" w:fill="auto"/>
          </w:tcPr>
          <w:p w:rsidR="00BE29BE" w:rsidRDefault="00076A4F">
            <w:pPr>
              <w:autoSpaceDE w:val="0"/>
              <w:autoSpaceDN w:val="0"/>
              <w:adjustRightInd w:val="0"/>
              <w:spacing w:after="0"/>
              <w:rPr>
                <w:rFonts w:ascii="Arial" w:eastAsia="MyriadPro-Regular" w:hAnsi="Arial" w:cs="Arial"/>
                <w:b/>
                <w:bCs/>
                <w:color w:val="5B9BD5" w:themeColor="accent1"/>
                <w:sz w:val="20"/>
              </w:rPr>
            </w:pPr>
            <w:r w:rsidRPr="00D16862">
              <w:rPr>
                <w:rFonts w:ascii="Arial" w:eastAsia="MyriadPro-Regular" w:hAnsi="Arial" w:cs="Arial"/>
                <w:sz w:val="20"/>
              </w:rPr>
              <w:t>Zgodność</w:t>
            </w:r>
          </w:p>
          <w:p w:rsidR="00BE29BE" w:rsidRDefault="00076A4F">
            <w:pPr>
              <w:autoSpaceDE w:val="0"/>
              <w:autoSpaceDN w:val="0"/>
              <w:adjustRightInd w:val="0"/>
              <w:spacing w:after="0"/>
              <w:rPr>
                <w:rFonts w:ascii="Arial" w:eastAsia="MyriadPro-Regular" w:hAnsi="Arial" w:cs="Arial"/>
                <w:b/>
                <w:bCs/>
                <w:color w:val="5B9BD5" w:themeColor="accent1"/>
                <w:sz w:val="20"/>
              </w:rPr>
            </w:pPr>
            <w:r w:rsidRPr="00D16862">
              <w:rPr>
                <w:rFonts w:ascii="Arial" w:eastAsia="MyriadPro-Regular" w:hAnsi="Arial" w:cs="Arial"/>
                <w:sz w:val="20"/>
              </w:rPr>
              <w:t>z wymogami pomocy</w:t>
            </w:r>
          </w:p>
          <w:p w:rsidR="00BE29BE" w:rsidRDefault="00076A4F">
            <w:pPr>
              <w:spacing w:before="40" w:after="0" w:line="240" w:lineRule="auto"/>
              <w:rPr>
                <w:rFonts w:ascii="Myriad Pro" w:eastAsiaTheme="majorEastAsia" w:hAnsi="Myriad Pro" w:cs="Arial"/>
                <w:b/>
                <w:bCs/>
                <w:color w:val="5B9BD5" w:themeColor="accent1"/>
                <w:sz w:val="20"/>
              </w:rPr>
            </w:pPr>
            <w:r w:rsidRPr="00D16862">
              <w:rPr>
                <w:rFonts w:ascii="Arial" w:eastAsia="MyriadPro-Regular" w:hAnsi="Arial" w:cs="Arial"/>
                <w:sz w:val="20"/>
              </w:rPr>
              <w:t>publicznej</w:t>
            </w:r>
          </w:p>
        </w:tc>
        <w:tc>
          <w:tcPr>
            <w:tcW w:w="6237" w:type="dxa"/>
          </w:tcPr>
          <w:p w:rsidR="00076A4F" w:rsidRPr="006375E9" w:rsidRDefault="00076A4F" w:rsidP="006B3C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Myriad Pro" w:hAnsi="Myriad Pro" w:cs="Arial"/>
                <w:sz w:val="20"/>
              </w:rPr>
            </w:pPr>
            <w:r w:rsidRPr="00D16862">
              <w:rPr>
                <w:rFonts w:ascii="Arial" w:eastAsia="MyriadPro-Regular" w:hAnsi="Arial" w:cs="Arial"/>
                <w:sz w:val="20"/>
              </w:rPr>
              <w:t>Projekt jest zgodny</w:t>
            </w:r>
            <w:r>
              <w:rPr>
                <w:rFonts w:ascii="Arial" w:eastAsia="MyriadPro-Regular" w:hAnsi="Arial" w:cs="Arial"/>
                <w:sz w:val="20"/>
              </w:rPr>
              <w:t xml:space="preserve"> z</w:t>
            </w:r>
            <w:r w:rsidRPr="00D16862">
              <w:rPr>
                <w:rFonts w:ascii="Arial" w:eastAsia="MyriadPro-Regular" w:hAnsi="Arial" w:cs="Arial"/>
                <w:sz w:val="20"/>
              </w:rPr>
              <w:t xml:space="preserve"> regułami pomocy publicznej i/lub pomocy </w:t>
            </w:r>
            <w:r w:rsidRPr="004E3684">
              <w:rPr>
                <w:rFonts w:ascii="Arial" w:eastAsia="MyriadPro-Regular" w:hAnsi="Arial" w:cs="Arial"/>
                <w:i/>
                <w:sz w:val="20"/>
              </w:rPr>
              <w:t>de minimis</w:t>
            </w:r>
            <w:r w:rsidRPr="00D16862">
              <w:rPr>
                <w:rFonts w:ascii="Arial" w:eastAsia="MyriadPro-Regular" w:hAnsi="Arial" w:cs="Arial"/>
                <w:sz w:val="20"/>
              </w:rPr>
              <w:t>.</w:t>
            </w:r>
          </w:p>
        </w:tc>
        <w:tc>
          <w:tcPr>
            <w:tcW w:w="4591" w:type="dxa"/>
          </w:tcPr>
          <w:p w:rsidR="00076A4F" w:rsidRPr="0098363A" w:rsidRDefault="00076A4F" w:rsidP="00076A4F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0"/>
              </w:rPr>
            </w:pPr>
            <w:r w:rsidRPr="0098363A">
              <w:rPr>
                <w:rFonts w:ascii="Arial" w:eastAsia="MyriadPro-Regular" w:hAnsi="Arial" w:cs="Arial"/>
                <w:sz w:val="20"/>
              </w:rPr>
              <w:t>Jeżeli dotyczy: spełnienie kryterium jest konieczne do przyznania dofinansowania.</w:t>
            </w:r>
          </w:p>
          <w:p w:rsidR="00076A4F" w:rsidRPr="0098363A" w:rsidRDefault="00076A4F" w:rsidP="00076A4F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0"/>
              </w:rPr>
            </w:pPr>
            <w:r w:rsidRPr="0098363A">
              <w:rPr>
                <w:rFonts w:ascii="Arial" w:eastAsia="MyriadPro-Regular" w:hAnsi="Arial" w:cs="Arial"/>
                <w:sz w:val="20"/>
              </w:rPr>
              <w:t xml:space="preserve">Projekty niespełniające kryterium </w:t>
            </w:r>
            <w:r w:rsidRPr="0098363A">
              <w:rPr>
                <w:rFonts w:ascii="Arial" w:hAnsi="Arial" w:cs="Arial"/>
                <w:sz w:val="20"/>
              </w:rPr>
              <w:t>kierowane są do poprawy lub uzupełnienia.</w:t>
            </w:r>
          </w:p>
          <w:p w:rsidR="00BE29BE" w:rsidRDefault="00076A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98363A">
              <w:rPr>
                <w:rFonts w:ascii="Arial" w:eastAsia="MyriadPro-Regular" w:hAnsi="Arial" w:cs="Arial"/>
                <w:sz w:val="20"/>
              </w:rPr>
              <w:t>Ocena spełniania kryterium polega na przypisaniu wartości logicznych „tak”, „nie”, „nie dotyczy”.</w:t>
            </w:r>
          </w:p>
        </w:tc>
      </w:tr>
      <w:tr w:rsidR="006B3CB4" w:rsidRPr="007A614C" w:rsidTr="007440E7">
        <w:trPr>
          <w:jc w:val="center"/>
        </w:trPr>
        <w:tc>
          <w:tcPr>
            <w:tcW w:w="507" w:type="dxa"/>
          </w:tcPr>
          <w:p w:rsidR="006B3CB4" w:rsidRPr="007A614C" w:rsidRDefault="006B3CB4" w:rsidP="006B3CB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cs="Arial"/>
              </w:rPr>
            </w:pPr>
          </w:p>
        </w:tc>
        <w:tc>
          <w:tcPr>
            <w:tcW w:w="2840" w:type="dxa"/>
            <w:shd w:val="clear" w:color="auto" w:fill="auto"/>
          </w:tcPr>
          <w:p w:rsidR="006B3CB4" w:rsidRPr="007A614C" w:rsidRDefault="006B3CB4" w:rsidP="007440E7">
            <w:pPr>
              <w:autoSpaceDE w:val="0"/>
              <w:autoSpaceDN w:val="0"/>
              <w:adjustRightInd w:val="0"/>
              <w:spacing w:after="0"/>
              <w:rPr>
                <w:rFonts w:ascii="Myriad Pro" w:eastAsia="Malgun Gothic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Zdolność organizacyjno-operacyjna</w:t>
            </w:r>
          </w:p>
        </w:tc>
        <w:tc>
          <w:tcPr>
            <w:tcW w:w="6237" w:type="dxa"/>
          </w:tcPr>
          <w:p w:rsidR="006B3CB4" w:rsidRPr="007A614C" w:rsidRDefault="006B3CB4" w:rsidP="007440E7">
            <w:pPr>
              <w:spacing w:before="40" w:after="40"/>
              <w:jc w:val="both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Beneficjent dysponuje odpowiednim potencjałem organizacyjnym i technicznym.</w:t>
            </w:r>
          </w:p>
          <w:p w:rsidR="006B3CB4" w:rsidRPr="00A358E6" w:rsidRDefault="006B3CB4" w:rsidP="007440E7">
            <w:pPr>
              <w:spacing w:before="40" w:after="40"/>
              <w:jc w:val="both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Beneficjent zapewni do realizacji projektu odpowiednio wykwalifikowaną kadrę, zarówno do jego obsługi jak i realizacji przedsięwzięć merytorycznych.</w:t>
            </w:r>
          </w:p>
        </w:tc>
        <w:tc>
          <w:tcPr>
            <w:tcW w:w="4591" w:type="dxa"/>
          </w:tcPr>
          <w:p w:rsidR="006B3CB4" w:rsidRPr="007A614C" w:rsidRDefault="006B3CB4" w:rsidP="007440E7">
            <w:pPr>
              <w:spacing w:before="40" w:after="40"/>
              <w:jc w:val="both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Spełnienie kryterium jest konieczne do przyznania dofinansowania.</w:t>
            </w:r>
          </w:p>
          <w:p w:rsidR="006B3CB4" w:rsidRPr="007A614C" w:rsidRDefault="006B3CB4" w:rsidP="007440E7">
            <w:pPr>
              <w:spacing w:before="40" w:after="40"/>
              <w:jc w:val="both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Projekty niespełniające kryterium kierowane są do poprawy lub uzupełnienia.</w:t>
            </w:r>
          </w:p>
          <w:p w:rsidR="006B3CB4" w:rsidRPr="007A614C" w:rsidRDefault="006B3CB4" w:rsidP="007440E7">
            <w:pPr>
              <w:spacing w:before="40" w:after="40"/>
              <w:jc w:val="both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Ocena spełniania kryterium polega na przypisaniu wartości logicznych „tak”, „nie”.</w:t>
            </w:r>
          </w:p>
        </w:tc>
      </w:tr>
      <w:tr w:rsidR="006B3CB4" w:rsidRPr="007A614C" w:rsidTr="007440E7">
        <w:trPr>
          <w:jc w:val="center"/>
        </w:trPr>
        <w:tc>
          <w:tcPr>
            <w:tcW w:w="507" w:type="dxa"/>
          </w:tcPr>
          <w:p w:rsidR="006B3CB4" w:rsidRPr="007A614C" w:rsidRDefault="006B3CB4" w:rsidP="006B3CB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cs="Arial"/>
              </w:rPr>
            </w:pPr>
          </w:p>
        </w:tc>
        <w:tc>
          <w:tcPr>
            <w:tcW w:w="2840" w:type="dxa"/>
            <w:shd w:val="clear" w:color="auto" w:fill="auto"/>
          </w:tcPr>
          <w:p w:rsidR="006B3CB4" w:rsidRPr="007A614C" w:rsidRDefault="006B3CB4" w:rsidP="007440E7">
            <w:pPr>
              <w:spacing w:before="40" w:after="40" w:line="240" w:lineRule="auto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Zdolność finansowa</w:t>
            </w:r>
          </w:p>
        </w:tc>
        <w:tc>
          <w:tcPr>
            <w:tcW w:w="6237" w:type="dxa"/>
          </w:tcPr>
          <w:p w:rsidR="006B3CB4" w:rsidRPr="007A614C" w:rsidRDefault="006B3CB4" w:rsidP="007440E7">
            <w:pPr>
              <w:spacing w:before="40" w:after="40"/>
              <w:jc w:val="both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Kondycja finansowa Beneficjenta na dzień złożenia wniosku o dofinansowanie gwarantuje osiągnięcie deklarowanych produktów lub rezultatów, zgodnie z deklarowanym planem finansowym i w terminie określonym we wniosku o dofinansowanie.</w:t>
            </w:r>
          </w:p>
          <w:p w:rsidR="006B3CB4" w:rsidRPr="00680EB7" w:rsidRDefault="006B3CB4" w:rsidP="007440E7">
            <w:pPr>
              <w:spacing w:before="40" w:after="0"/>
              <w:jc w:val="both"/>
              <w:rPr>
                <w:rFonts w:ascii="Myriad Pro" w:eastAsiaTheme="minorEastAsia" w:hAnsi="Myriad Pro" w:cs="Arial"/>
                <w:sz w:val="20"/>
                <w:lang w:eastAsia="pl-PL"/>
              </w:rPr>
            </w:pPr>
            <w:r w:rsidRPr="007A614C">
              <w:rPr>
                <w:rFonts w:ascii="Myriad Pro" w:eastAsia="MyriadPro-Regular" w:hAnsi="Myriad Pro" w:cs="Arial"/>
                <w:sz w:val="20"/>
                <w:lang w:eastAsia="pl-PL"/>
              </w:rPr>
              <w:t>W przypadku Beneficjenta będącego jednostką sektora finansów publicznych i/lub w przypadku projektu realizowanego w partnerstwie gdzie Beneficjentem – Liderem jest podmiot będący jednostką sektora finansów publicznych kryterium zostaje automatycznie uznane za spełnione.</w:t>
            </w:r>
          </w:p>
        </w:tc>
        <w:tc>
          <w:tcPr>
            <w:tcW w:w="4591" w:type="dxa"/>
          </w:tcPr>
          <w:p w:rsidR="006B3CB4" w:rsidRPr="007A614C" w:rsidRDefault="006B3CB4" w:rsidP="007440E7">
            <w:pPr>
              <w:spacing w:before="40" w:after="40"/>
              <w:jc w:val="both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 xml:space="preserve">Spełnienie kryterium jest konieczne do przyznania dofinansowania. </w:t>
            </w:r>
            <w:r w:rsidRPr="007A614C">
              <w:rPr>
                <w:rFonts w:ascii="Myriad Pro" w:hAnsi="Myriad Pro" w:cs="Arial"/>
                <w:sz w:val="20"/>
              </w:rPr>
              <w:br/>
              <w:t>Projekty niespełniające kryterium kierowane są do poprawy lub uzupełnienia.</w:t>
            </w:r>
          </w:p>
          <w:p w:rsidR="006B3CB4" w:rsidRPr="007A614C" w:rsidRDefault="006B3CB4" w:rsidP="007440E7">
            <w:pPr>
              <w:spacing w:before="40" w:after="40"/>
              <w:jc w:val="both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Kryterium weryfikowane będzie na etapie  oceny.</w:t>
            </w:r>
          </w:p>
          <w:p w:rsidR="006B3CB4" w:rsidRPr="007A614C" w:rsidRDefault="006B3CB4" w:rsidP="007440E7">
            <w:pPr>
              <w:spacing w:before="40" w:after="40"/>
              <w:jc w:val="both"/>
              <w:rPr>
                <w:rFonts w:ascii="Myriad Pro" w:hAnsi="Myriad Pro" w:cs="Arial"/>
                <w:sz w:val="20"/>
              </w:rPr>
            </w:pPr>
            <w:r w:rsidRPr="007A614C">
              <w:rPr>
                <w:rFonts w:ascii="Myriad Pro" w:hAnsi="Myriad Pro" w:cs="Arial"/>
                <w:sz w:val="20"/>
              </w:rPr>
              <w:t>Ocena spełniania kryterium polega na przypisaniu wartości logicznych „tak”, „nie”.</w:t>
            </w:r>
          </w:p>
        </w:tc>
      </w:tr>
    </w:tbl>
    <w:p w:rsidR="006B3CB4" w:rsidRDefault="006B3CB4" w:rsidP="006B3CB4">
      <w:pPr>
        <w:spacing w:after="0"/>
        <w:rPr>
          <w:rFonts w:ascii="Myriad Pro" w:hAnsi="Myriad Pro"/>
          <w:b/>
          <w:sz w:val="20"/>
        </w:rPr>
      </w:pPr>
    </w:p>
    <w:tbl>
      <w:tblPr>
        <w:tblStyle w:val="Tabela-Siatka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2824"/>
        <w:gridCol w:w="6224"/>
        <w:gridCol w:w="4591"/>
      </w:tblGrid>
      <w:tr w:rsidR="006B3CB4" w:rsidRPr="007A614C" w:rsidTr="007440E7">
        <w:trPr>
          <w:jc w:val="center"/>
        </w:trPr>
        <w:tc>
          <w:tcPr>
            <w:tcW w:w="14175" w:type="dxa"/>
            <w:gridSpan w:val="4"/>
            <w:shd w:val="clear" w:color="auto" w:fill="D9D9D9" w:themeFill="background1" w:themeFillShade="D9"/>
            <w:vAlign w:val="center"/>
          </w:tcPr>
          <w:p w:rsidR="006B3CB4" w:rsidRPr="007A614C" w:rsidRDefault="006B3CB4" w:rsidP="007440E7">
            <w:pPr>
              <w:spacing w:before="40" w:after="40"/>
              <w:jc w:val="center"/>
              <w:rPr>
                <w:rFonts w:cs="Arial"/>
                <w:b/>
              </w:rPr>
            </w:pPr>
            <w:r w:rsidRPr="007A614C">
              <w:rPr>
                <w:rFonts w:cs="Arial"/>
                <w:b/>
              </w:rPr>
              <w:t>Kryteria administracyjności</w:t>
            </w:r>
          </w:p>
        </w:tc>
      </w:tr>
      <w:tr w:rsidR="006B3CB4" w:rsidRPr="007A614C" w:rsidTr="007440E7">
        <w:trPr>
          <w:jc w:val="center"/>
        </w:trPr>
        <w:tc>
          <w:tcPr>
            <w:tcW w:w="536" w:type="dxa"/>
          </w:tcPr>
          <w:p w:rsidR="006B3CB4" w:rsidRPr="007A614C" w:rsidRDefault="006B3CB4" w:rsidP="007440E7">
            <w:pPr>
              <w:spacing w:before="40" w:after="40"/>
              <w:ind w:right="-84"/>
              <w:rPr>
                <w:rFonts w:cs="Arial"/>
              </w:rPr>
            </w:pPr>
            <w:r w:rsidRPr="007A614C">
              <w:rPr>
                <w:rFonts w:cs="Arial"/>
              </w:rPr>
              <w:t>L.p.</w:t>
            </w:r>
          </w:p>
        </w:tc>
        <w:tc>
          <w:tcPr>
            <w:tcW w:w="2824" w:type="dxa"/>
            <w:vAlign w:val="center"/>
          </w:tcPr>
          <w:p w:rsidR="006B3CB4" w:rsidRPr="007A614C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7A614C">
              <w:rPr>
                <w:rFonts w:cs="Arial"/>
              </w:rPr>
              <w:t>Nazwa kryterium</w:t>
            </w:r>
          </w:p>
        </w:tc>
        <w:tc>
          <w:tcPr>
            <w:tcW w:w="6224" w:type="dxa"/>
            <w:vAlign w:val="center"/>
          </w:tcPr>
          <w:p w:rsidR="006B3CB4" w:rsidRPr="007A614C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7A614C">
              <w:rPr>
                <w:rFonts w:cs="Arial"/>
              </w:rPr>
              <w:t>Definicja kryterium</w:t>
            </w:r>
          </w:p>
        </w:tc>
        <w:tc>
          <w:tcPr>
            <w:tcW w:w="4591" w:type="dxa"/>
            <w:vAlign w:val="center"/>
          </w:tcPr>
          <w:p w:rsidR="006B3CB4" w:rsidRPr="007A614C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7A614C">
              <w:rPr>
                <w:rFonts w:cs="Arial"/>
              </w:rPr>
              <w:t>Opis znaczenia kryterium</w:t>
            </w:r>
          </w:p>
        </w:tc>
      </w:tr>
      <w:tr w:rsidR="006B3CB4" w:rsidRPr="007A614C" w:rsidTr="007440E7">
        <w:trPr>
          <w:jc w:val="center"/>
        </w:trPr>
        <w:tc>
          <w:tcPr>
            <w:tcW w:w="536" w:type="dxa"/>
          </w:tcPr>
          <w:p w:rsidR="006B3CB4" w:rsidRPr="007A614C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7A614C">
              <w:rPr>
                <w:rFonts w:cs="Arial"/>
              </w:rPr>
              <w:t>1</w:t>
            </w:r>
          </w:p>
        </w:tc>
        <w:tc>
          <w:tcPr>
            <w:tcW w:w="2824" w:type="dxa"/>
            <w:vAlign w:val="center"/>
          </w:tcPr>
          <w:p w:rsidR="006B3CB4" w:rsidRPr="007A614C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7A614C">
              <w:rPr>
                <w:rFonts w:cs="Arial"/>
              </w:rPr>
              <w:t>2</w:t>
            </w:r>
          </w:p>
        </w:tc>
        <w:tc>
          <w:tcPr>
            <w:tcW w:w="6224" w:type="dxa"/>
            <w:vAlign w:val="center"/>
          </w:tcPr>
          <w:p w:rsidR="006B3CB4" w:rsidRPr="007A614C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7A614C">
              <w:rPr>
                <w:rFonts w:cs="Arial"/>
              </w:rPr>
              <w:t>3</w:t>
            </w:r>
          </w:p>
        </w:tc>
        <w:tc>
          <w:tcPr>
            <w:tcW w:w="4591" w:type="dxa"/>
            <w:vAlign w:val="center"/>
          </w:tcPr>
          <w:p w:rsidR="006B3CB4" w:rsidRPr="007A614C" w:rsidRDefault="006B3CB4" w:rsidP="007440E7">
            <w:pPr>
              <w:spacing w:before="40" w:after="40"/>
              <w:jc w:val="center"/>
              <w:rPr>
                <w:rFonts w:cs="Arial"/>
              </w:rPr>
            </w:pPr>
            <w:r w:rsidRPr="007A614C">
              <w:rPr>
                <w:rFonts w:cs="Arial"/>
              </w:rPr>
              <w:t>4</w:t>
            </w:r>
          </w:p>
        </w:tc>
      </w:tr>
      <w:tr w:rsidR="006B3CB4" w:rsidRPr="007A614C" w:rsidTr="007440E7">
        <w:trPr>
          <w:jc w:val="center"/>
        </w:trPr>
        <w:tc>
          <w:tcPr>
            <w:tcW w:w="536" w:type="dxa"/>
          </w:tcPr>
          <w:p w:rsidR="006B3CB4" w:rsidRPr="007A614C" w:rsidRDefault="006B3CB4" w:rsidP="006B3CB4">
            <w:pPr>
              <w:pStyle w:val="Akapitzlist"/>
              <w:numPr>
                <w:ilvl w:val="0"/>
                <w:numId w:val="8"/>
              </w:numPr>
              <w:spacing w:before="40" w:after="40"/>
              <w:ind w:left="357" w:hanging="357"/>
              <w:contextualSpacing w:val="0"/>
              <w:rPr>
                <w:rFonts w:cs="Arial"/>
              </w:rPr>
            </w:pPr>
          </w:p>
        </w:tc>
        <w:tc>
          <w:tcPr>
            <w:tcW w:w="2824" w:type="dxa"/>
          </w:tcPr>
          <w:p w:rsidR="006B3CB4" w:rsidRPr="007A614C" w:rsidRDefault="006B3CB4" w:rsidP="007440E7">
            <w:pPr>
              <w:spacing w:before="40" w:after="40"/>
              <w:rPr>
                <w:rFonts w:cs="Arial"/>
              </w:rPr>
            </w:pPr>
            <w:r w:rsidRPr="007A614C">
              <w:rPr>
                <w:rFonts w:cs="Arial"/>
              </w:rPr>
              <w:t>Intensywność wsparcia</w:t>
            </w:r>
          </w:p>
        </w:tc>
        <w:tc>
          <w:tcPr>
            <w:tcW w:w="6224" w:type="dxa"/>
          </w:tcPr>
          <w:p w:rsidR="006B3CB4" w:rsidRPr="007A614C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7A614C">
              <w:rPr>
                <w:rFonts w:cs="Arial"/>
              </w:rPr>
              <w:t>Wnioskowana kwota i poziom wsparcia są zgodne z zapisami</w:t>
            </w:r>
            <w:r>
              <w:rPr>
                <w:rFonts w:cs="Arial"/>
              </w:rPr>
              <w:t xml:space="preserve"> </w:t>
            </w:r>
            <w:r w:rsidR="00F440CC">
              <w:rPr>
                <w:rFonts w:cs="Arial"/>
              </w:rPr>
              <w:t>Wezwania</w:t>
            </w:r>
            <w:r w:rsidR="00F440CC" w:rsidRPr="00F440CC">
              <w:rPr>
                <w:rFonts w:cs="Arial"/>
              </w:rPr>
              <w:t xml:space="preserve"> do złożenia wniosku</w:t>
            </w:r>
          </w:p>
        </w:tc>
        <w:tc>
          <w:tcPr>
            <w:tcW w:w="4591" w:type="dxa"/>
          </w:tcPr>
          <w:p w:rsidR="006B3CB4" w:rsidRPr="007A614C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7A614C">
              <w:rPr>
                <w:rFonts w:cs="Arial"/>
              </w:rPr>
              <w:t>Spełnienie kryterium jest konieczne do przyznania dofinansowania.</w:t>
            </w:r>
          </w:p>
          <w:p w:rsidR="006B3CB4" w:rsidRPr="007A614C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7A614C">
              <w:rPr>
                <w:rFonts w:cs="Arial"/>
              </w:rPr>
              <w:t xml:space="preserve">Projekty niespełniające kryterium kierowane są do </w:t>
            </w:r>
            <w:r w:rsidRPr="007A614C">
              <w:rPr>
                <w:rFonts w:cs="Arial"/>
              </w:rPr>
              <w:lastRenderedPageBreak/>
              <w:t>poprawy lub uzupełnienia.</w:t>
            </w:r>
          </w:p>
          <w:p w:rsidR="006B3CB4" w:rsidRPr="007A614C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7A614C">
              <w:rPr>
                <w:rFonts w:cs="Arial"/>
              </w:rPr>
              <w:t>Ocena spełniania kryterium polega na przypisaniu wartości logicznych „tak”, „nie”.</w:t>
            </w:r>
          </w:p>
        </w:tc>
      </w:tr>
      <w:tr w:rsidR="006B3CB4" w:rsidRPr="007A614C" w:rsidTr="007440E7">
        <w:trPr>
          <w:jc w:val="center"/>
        </w:trPr>
        <w:tc>
          <w:tcPr>
            <w:tcW w:w="536" w:type="dxa"/>
          </w:tcPr>
          <w:p w:rsidR="006B3CB4" w:rsidRPr="007A614C" w:rsidRDefault="006B3CB4" w:rsidP="006B3CB4">
            <w:pPr>
              <w:pStyle w:val="Akapitzlist"/>
              <w:numPr>
                <w:ilvl w:val="0"/>
                <w:numId w:val="8"/>
              </w:numPr>
              <w:spacing w:before="40" w:after="40"/>
              <w:ind w:left="357" w:hanging="357"/>
              <w:contextualSpacing w:val="0"/>
              <w:rPr>
                <w:rFonts w:cs="Arial"/>
              </w:rPr>
            </w:pPr>
          </w:p>
        </w:tc>
        <w:tc>
          <w:tcPr>
            <w:tcW w:w="2824" w:type="dxa"/>
          </w:tcPr>
          <w:p w:rsidR="006B3CB4" w:rsidRPr="007A614C" w:rsidRDefault="006B3CB4" w:rsidP="007440E7">
            <w:pPr>
              <w:spacing w:before="40" w:after="40"/>
              <w:rPr>
                <w:rFonts w:cs="Arial"/>
              </w:rPr>
            </w:pPr>
            <w:r w:rsidRPr="007A614C">
              <w:rPr>
                <w:rFonts w:cs="Arial"/>
              </w:rPr>
              <w:t>Zgodność z kwalifikowalnością wydatków.</w:t>
            </w:r>
          </w:p>
        </w:tc>
        <w:tc>
          <w:tcPr>
            <w:tcW w:w="6224" w:type="dxa"/>
          </w:tcPr>
          <w:p w:rsidR="006B3CB4" w:rsidRPr="007A614C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7A614C">
              <w:rPr>
                <w:rFonts w:cs="Arial"/>
              </w:rPr>
              <w:t xml:space="preserve">Wydatki w projekcie są zgodne z </w:t>
            </w:r>
            <w:r>
              <w:rPr>
                <w:rFonts w:eastAsia="Times New Roman" w:cs="Arial"/>
                <w:i/>
                <w:lang w:eastAsia="pl-PL"/>
              </w:rPr>
              <w:t xml:space="preserve">Wytycznymi </w:t>
            </w:r>
            <w:r w:rsidRPr="007A614C">
              <w:rPr>
                <w:rFonts w:eastAsia="Times New Roman" w:cs="Arial"/>
                <w:i/>
                <w:lang w:eastAsia="pl-PL"/>
              </w:rPr>
              <w:t>w zakresie kwalifikowalności wydatków w ramach Europejskiego Funduszu Rozwoju Regionalnego, Europejskiego Funduszu Społecznego oraz Funduszu Spójności w okresie programowania 2014-2020</w:t>
            </w:r>
            <w:r w:rsidRPr="007A614C">
              <w:rPr>
                <w:rFonts w:eastAsia="Times New Roman" w:cs="Arial"/>
                <w:lang w:eastAsia="pl-PL"/>
              </w:rPr>
              <w:t xml:space="preserve"> </w:t>
            </w:r>
          </w:p>
          <w:p w:rsidR="006B3CB4" w:rsidRDefault="006B3CB4" w:rsidP="007440E7">
            <w:pPr>
              <w:spacing w:before="40" w:after="40"/>
              <w:jc w:val="both"/>
              <w:rPr>
                <w:rFonts w:eastAsia="Times New Roman" w:cs="Arial"/>
                <w:i/>
                <w:lang w:eastAsia="pl-PL"/>
              </w:rPr>
            </w:pPr>
            <w:r w:rsidRPr="007A614C">
              <w:rPr>
                <w:rFonts w:cs="Arial"/>
              </w:rPr>
              <w:t xml:space="preserve">Wartość kosztów pośrednich rozliczanych ryczałtem została wyliczona zgodnie z </w:t>
            </w:r>
            <w:r>
              <w:rPr>
                <w:rFonts w:eastAsia="Times New Roman" w:cs="Arial"/>
                <w:i/>
                <w:lang w:eastAsia="pl-PL"/>
              </w:rPr>
              <w:t xml:space="preserve">Wytycznymi </w:t>
            </w:r>
            <w:r w:rsidRPr="007A614C">
              <w:rPr>
                <w:rFonts w:eastAsia="Times New Roman" w:cs="Arial"/>
                <w:i/>
                <w:lang w:eastAsia="pl-PL"/>
              </w:rPr>
              <w:t>w zakresie kwalifikowalności wydatków w ramach Europejskiego Funduszu Rozwoju Regionalnego, Europejskiego Funduszu Społecznego oraz Funduszu Spójności w okresie programowania 2014-2020</w:t>
            </w:r>
            <w:r w:rsidR="008218C2">
              <w:rPr>
                <w:rFonts w:eastAsia="Times New Roman" w:cs="Arial"/>
                <w:i/>
                <w:lang w:eastAsia="pl-PL"/>
              </w:rPr>
              <w:t>.</w:t>
            </w:r>
          </w:p>
          <w:p w:rsidR="008218C2" w:rsidRPr="007A614C" w:rsidRDefault="008218C2" w:rsidP="00754700">
            <w:pPr>
              <w:spacing w:before="40" w:after="40"/>
              <w:jc w:val="both"/>
              <w:rPr>
                <w:rFonts w:cs="Arial"/>
              </w:rPr>
            </w:pPr>
            <w:r w:rsidRPr="00F440CC">
              <w:rPr>
                <w:rFonts w:cs="Arial"/>
              </w:rPr>
              <w:t xml:space="preserve">Planowane wydatki są uzasadnione, niezbędne, racjonalne i adekwatne do zakresu merytorycznego projektu w tym opisu grupy docelowej i planowanego wsparcia. Wydatki założone w projekcie  są  zgodne z katalogiem wydatków, limitami (w tym stawką ryczałtową  dla  kosztów pośrednich) oraz zasadami kwalifikowalności określonymi w </w:t>
            </w:r>
            <w:r w:rsidRPr="00F440CC">
              <w:rPr>
                <w:rFonts w:cs="Arial"/>
                <w:i/>
              </w:rPr>
              <w:t>Wezwaniu do złożenia wniosku</w:t>
            </w:r>
            <w:r w:rsidR="00754700">
              <w:rPr>
                <w:rFonts w:cs="Arial"/>
              </w:rPr>
              <w:t xml:space="preserve">. </w:t>
            </w:r>
            <w:r w:rsidRPr="002A3304">
              <w:rPr>
                <w:rFonts w:cs="Arial"/>
              </w:rPr>
              <w:t xml:space="preserve">Poziom wydatków w ramach cross-financingu oraz środków trwałych jest  zgodny  z  poziomem tych wydatków wskazanym w </w:t>
            </w:r>
            <w:r w:rsidRPr="002A3304">
              <w:rPr>
                <w:rFonts w:cs="Arial"/>
                <w:i/>
              </w:rPr>
              <w:t>Wezwaniu do złożenia wniosku.</w:t>
            </w:r>
          </w:p>
        </w:tc>
        <w:tc>
          <w:tcPr>
            <w:tcW w:w="4591" w:type="dxa"/>
          </w:tcPr>
          <w:p w:rsidR="006B3CB4" w:rsidRPr="007A614C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7A614C">
              <w:rPr>
                <w:rFonts w:cs="Arial"/>
              </w:rPr>
              <w:t>Spełnienie kryterium jest konieczne do przyznania dofinansowania.</w:t>
            </w:r>
          </w:p>
          <w:p w:rsidR="006B3CB4" w:rsidRPr="007A614C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7A614C">
              <w:rPr>
                <w:rFonts w:cs="Arial"/>
              </w:rPr>
              <w:t>Projekty niespełniające kryterium kierowane są do poprawy lub uzupełnienia.</w:t>
            </w:r>
          </w:p>
          <w:p w:rsidR="006B3CB4" w:rsidRPr="007A614C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7A614C">
              <w:rPr>
                <w:rFonts w:cs="Arial"/>
              </w:rPr>
              <w:t xml:space="preserve">Za zgodą IP, na etapie realizacji projektu, dopuszcza się możliwość  odstępstwa od  zapisów Regulaminu naboru w zakresie spełnienia przedmiotowego kryterium z uwagi na zmiany </w:t>
            </w:r>
            <w:r w:rsidRPr="007A614C">
              <w:rPr>
                <w:rFonts w:cs="Arial"/>
                <w:i/>
              </w:rPr>
              <w:t>SOOP RPO WZ 2014-2020</w:t>
            </w:r>
            <w:r w:rsidRPr="007A614C">
              <w:rPr>
                <w:rFonts w:cs="Arial"/>
              </w:rPr>
              <w:t xml:space="preserve">, </w:t>
            </w:r>
            <w:r>
              <w:rPr>
                <w:rFonts w:eastAsia="MyriadPro-Regular" w:cs="Arial"/>
                <w:i/>
              </w:rPr>
              <w:t xml:space="preserve">Wytycznych  </w:t>
            </w:r>
            <w:r w:rsidRPr="007A614C">
              <w:rPr>
                <w:rFonts w:eastAsia="MyriadPro-Regular" w:cs="Arial"/>
                <w:i/>
              </w:rPr>
              <w:t>w zakresie kwalifikowalności wydatków w ramach Europejskiego Funduszu Rozwoju Regionalnego, Europejskiego Funduszu Społecznego oraz Funduszu Spójności na lata 2014-2020</w:t>
            </w:r>
            <w:r w:rsidR="00120585">
              <w:rPr>
                <w:rFonts w:eastAsia="MyriadPro-Regular" w:cs="Arial"/>
                <w:i/>
              </w:rPr>
              <w:t>.</w:t>
            </w:r>
            <w:r w:rsidRPr="007A614C">
              <w:rPr>
                <w:rFonts w:eastAsia="MyriadPro-Regular" w:cs="Arial"/>
                <w:i/>
              </w:rPr>
              <w:t xml:space="preserve">  </w:t>
            </w:r>
            <w:r w:rsidRPr="007A614C">
              <w:rPr>
                <w:rFonts w:cs="Arial"/>
              </w:rPr>
              <w:t xml:space="preserve"> </w:t>
            </w:r>
          </w:p>
          <w:p w:rsidR="006B3CB4" w:rsidRPr="007A614C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7A614C">
              <w:rPr>
                <w:rFonts w:cs="Arial"/>
              </w:rPr>
              <w:t>Ocena spełniania kryterium polega na przypisaniu wartości logicznych „tak”, „nie”.</w:t>
            </w:r>
          </w:p>
        </w:tc>
      </w:tr>
      <w:tr w:rsidR="006B3CB4" w:rsidRPr="007A614C" w:rsidTr="007440E7">
        <w:trPr>
          <w:jc w:val="center"/>
        </w:trPr>
        <w:tc>
          <w:tcPr>
            <w:tcW w:w="536" w:type="dxa"/>
          </w:tcPr>
          <w:p w:rsidR="006B3CB4" w:rsidRPr="007A614C" w:rsidRDefault="006B3CB4" w:rsidP="006B3CB4">
            <w:pPr>
              <w:pStyle w:val="Akapitzlist"/>
              <w:numPr>
                <w:ilvl w:val="0"/>
                <w:numId w:val="8"/>
              </w:numPr>
              <w:spacing w:before="40" w:after="40"/>
              <w:ind w:left="357" w:hanging="357"/>
              <w:contextualSpacing w:val="0"/>
              <w:rPr>
                <w:rFonts w:cs="Arial"/>
              </w:rPr>
            </w:pPr>
          </w:p>
        </w:tc>
        <w:tc>
          <w:tcPr>
            <w:tcW w:w="2824" w:type="dxa"/>
          </w:tcPr>
          <w:p w:rsidR="006B3CB4" w:rsidRPr="007A614C" w:rsidRDefault="006B3CB4" w:rsidP="007440E7">
            <w:pPr>
              <w:spacing w:before="40" w:after="40"/>
              <w:rPr>
                <w:rFonts w:cs="Arial"/>
              </w:rPr>
            </w:pPr>
            <w:r w:rsidRPr="007A614C">
              <w:rPr>
                <w:rFonts w:eastAsia="MyriadPro-Regular" w:cs="Arial"/>
              </w:rPr>
              <w:t>Zgodność z warunkami realizacji wsparcia.</w:t>
            </w:r>
          </w:p>
        </w:tc>
        <w:tc>
          <w:tcPr>
            <w:tcW w:w="6224" w:type="dxa"/>
          </w:tcPr>
          <w:p w:rsidR="006B3CB4" w:rsidRPr="007A614C" w:rsidRDefault="006B3CB4" w:rsidP="00120585">
            <w:pPr>
              <w:spacing w:before="40" w:after="40"/>
              <w:jc w:val="both"/>
              <w:rPr>
                <w:rFonts w:cs="Arial"/>
              </w:rPr>
            </w:pPr>
            <w:r w:rsidRPr="007A614C">
              <w:rPr>
                <w:rFonts w:eastAsia="MyriadPro-Regular" w:cs="Arial"/>
              </w:rPr>
              <w:t>Wnio</w:t>
            </w:r>
            <w:r>
              <w:rPr>
                <w:rFonts w:eastAsia="MyriadPro-Regular" w:cs="Arial"/>
              </w:rPr>
              <w:t xml:space="preserve">sek został sporządzony zgodnie </w:t>
            </w:r>
            <w:r w:rsidRPr="007A614C">
              <w:rPr>
                <w:rFonts w:eastAsia="MyriadPro-Regular" w:cs="Arial"/>
              </w:rPr>
              <w:t xml:space="preserve">z uwarunkowaniami realizacji wsparcia wskazanymi przez IP  w </w:t>
            </w:r>
            <w:r w:rsidR="00F440CC" w:rsidRPr="00F440CC">
              <w:rPr>
                <w:rFonts w:cs="Arial"/>
              </w:rPr>
              <w:t>Wezwaniu do złożenia wniosku</w:t>
            </w:r>
            <w:r w:rsidR="00F440CC">
              <w:rPr>
                <w:rFonts w:cs="Arial"/>
              </w:rPr>
              <w:t>.</w:t>
            </w:r>
          </w:p>
        </w:tc>
        <w:tc>
          <w:tcPr>
            <w:tcW w:w="4591" w:type="dxa"/>
          </w:tcPr>
          <w:p w:rsidR="006B3CB4" w:rsidRPr="007A614C" w:rsidRDefault="006B3CB4" w:rsidP="007440E7">
            <w:pPr>
              <w:autoSpaceDE w:val="0"/>
              <w:autoSpaceDN w:val="0"/>
              <w:adjustRightInd w:val="0"/>
              <w:jc w:val="both"/>
              <w:rPr>
                <w:rFonts w:eastAsia="MyriadPro-Regular" w:cs="Arial"/>
              </w:rPr>
            </w:pPr>
            <w:r w:rsidRPr="007A614C">
              <w:rPr>
                <w:rFonts w:eastAsia="MyriadPro-Regular" w:cs="Arial"/>
              </w:rPr>
              <w:t>Spełnienie kryterium jest konieczne do przyznania dofinansowania.</w:t>
            </w:r>
          </w:p>
          <w:p w:rsidR="006B3CB4" w:rsidRPr="007A614C" w:rsidRDefault="006B3CB4" w:rsidP="007440E7">
            <w:pPr>
              <w:autoSpaceDE w:val="0"/>
              <w:autoSpaceDN w:val="0"/>
              <w:adjustRightInd w:val="0"/>
              <w:jc w:val="both"/>
              <w:rPr>
                <w:rFonts w:eastAsia="MyriadPro-Regular" w:cs="Arial"/>
              </w:rPr>
            </w:pPr>
            <w:r w:rsidRPr="007A614C">
              <w:rPr>
                <w:rFonts w:eastAsia="MyriadPro-Regular" w:cs="Arial"/>
              </w:rPr>
              <w:t>Projekty niespełniające kryterium kierowane są do poprawy lub uzupełnienia.</w:t>
            </w:r>
          </w:p>
          <w:p w:rsidR="006B3CB4" w:rsidRPr="007A614C" w:rsidRDefault="006B3CB4" w:rsidP="007440E7">
            <w:pPr>
              <w:autoSpaceDE w:val="0"/>
              <w:autoSpaceDN w:val="0"/>
              <w:adjustRightInd w:val="0"/>
              <w:jc w:val="both"/>
              <w:rPr>
                <w:rFonts w:eastAsia="MyriadPro-Regular" w:cs="Arial"/>
                <w:i/>
              </w:rPr>
            </w:pPr>
            <w:r w:rsidRPr="007A614C">
              <w:rPr>
                <w:rFonts w:cs="Arial"/>
              </w:rPr>
              <w:t xml:space="preserve">Za zgodą IP, na etapie realizacji projektu, dopuszcza się możliwość  odstępstwa od  zapisów </w:t>
            </w:r>
            <w:r w:rsidR="00754700" w:rsidRPr="00F440CC">
              <w:rPr>
                <w:rFonts w:cs="Arial"/>
              </w:rPr>
              <w:t>Wezwaniu do złożenia wniosku</w:t>
            </w:r>
            <w:r w:rsidRPr="007A614C">
              <w:rPr>
                <w:rFonts w:cs="Arial"/>
              </w:rPr>
              <w:t xml:space="preserve"> w zakresie spełnienia przedmiotowego kryterium z uwagi na zmiany m.in. </w:t>
            </w:r>
            <w:r w:rsidRPr="007A614C">
              <w:rPr>
                <w:rFonts w:cs="Arial"/>
                <w:i/>
              </w:rPr>
              <w:t>RPO WZ 2014-2020</w:t>
            </w:r>
            <w:r w:rsidRPr="007A614C">
              <w:rPr>
                <w:rFonts w:cs="Arial"/>
              </w:rPr>
              <w:t xml:space="preserve">, przepisów prawa, </w:t>
            </w:r>
            <w:r w:rsidRPr="007A614C">
              <w:rPr>
                <w:rFonts w:cs="Arial"/>
                <w:i/>
              </w:rPr>
              <w:t>SOOP RPO WZ 2014-2020</w:t>
            </w:r>
            <w:r w:rsidRPr="007A614C">
              <w:rPr>
                <w:rFonts w:eastAsia="MyriadPro-Regular" w:cs="Arial"/>
                <w:i/>
              </w:rPr>
              <w:t xml:space="preserve"> </w:t>
            </w:r>
            <w:r w:rsidRPr="007A614C">
              <w:rPr>
                <w:rFonts w:cs="Arial"/>
              </w:rPr>
              <w:t>mających wpływ na założenia dotyczące uwarunkowań realizacji wsparcia.</w:t>
            </w:r>
          </w:p>
          <w:p w:rsidR="006B3CB4" w:rsidRPr="007A614C" w:rsidRDefault="006B3CB4" w:rsidP="007440E7">
            <w:pPr>
              <w:jc w:val="both"/>
              <w:rPr>
                <w:rFonts w:cs="Arial"/>
              </w:rPr>
            </w:pPr>
            <w:r w:rsidRPr="007A614C">
              <w:rPr>
                <w:rFonts w:eastAsia="MyriadPro-Regular" w:cs="Arial"/>
              </w:rPr>
              <w:lastRenderedPageBreak/>
              <w:t>Ocena spełniania kryterium polega na przypisaniu wartości logicznych „tak”, „nie”.</w:t>
            </w:r>
          </w:p>
        </w:tc>
      </w:tr>
      <w:tr w:rsidR="006B3CB4" w:rsidRPr="007A614C" w:rsidTr="007440E7">
        <w:trPr>
          <w:jc w:val="center"/>
        </w:trPr>
        <w:tc>
          <w:tcPr>
            <w:tcW w:w="536" w:type="dxa"/>
            <w:shd w:val="clear" w:color="auto" w:fill="auto"/>
          </w:tcPr>
          <w:p w:rsidR="006B3CB4" w:rsidRPr="007A614C" w:rsidRDefault="006B3CB4" w:rsidP="006B3CB4">
            <w:pPr>
              <w:pStyle w:val="Akapitzlist"/>
              <w:numPr>
                <w:ilvl w:val="0"/>
                <w:numId w:val="8"/>
              </w:numPr>
              <w:spacing w:before="40" w:after="40"/>
              <w:ind w:left="357" w:hanging="357"/>
              <w:contextualSpacing w:val="0"/>
              <w:rPr>
                <w:rFonts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6B3CB4" w:rsidRPr="007A614C" w:rsidRDefault="006B3CB4" w:rsidP="007440E7">
            <w:pPr>
              <w:pStyle w:val="Tekstkomentarza"/>
              <w:rPr>
                <w:rFonts w:cs="Arial"/>
              </w:rPr>
            </w:pPr>
            <w:r w:rsidRPr="007A614C">
              <w:rPr>
                <w:rFonts w:cs="Arial"/>
              </w:rPr>
              <w:t>Spójność wniosku i załączników (jeśli dotyczy)</w:t>
            </w:r>
          </w:p>
          <w:p w:rsidR="006B3CB4" w:rsidRPr="007A614C" w:rsidRDefault="006B3CB4" w:rsidP="007440E7">
            <w:pPr>
              <w:spacing w:before="40" w:after="40"/>
              <w:rPr>
                <w:rFonts w:cs="Arial"/>
              </w:rPr>
            </w:pPr>
          </w:p>
        </w:tc>
        <w:tc>
          <w:tcPr>
            <w:tcW w:w="6224" w:type="dxa"/>
            <w:shd w:val="clear" w:color="auto" w:fill="auto"/>
          </w:tcPr>
          <w:p w:rsidR="006B3CB4" w:rsidRPr="007A614C" w:rsidRDefault="006B3CB4" w:rsidP="007440E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7A614C">
              <w:rPr>
                <w:rFonts w:cs="Arial"/>
              </w:rPr>
              <w:t>Opisy we wniosku oraz w załącznikach (jeśli dotyczy) są ze sobą spójne i nie zawierają sprzecznych ze sobą kwestii.</w:t>
            </w:r>
          </w:p>
        </w:tc>
        <w:tc>
          <w:tcPr>
            <w:tcW w:w="4591" w:type="dxa"/>
            <w:shd w:val="clear" w:color="auto" w:fill="auto"/>
          </w:tcPr>
          <w:p w:rsidR="006B3CB4" w:rsidRPr="007A614C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7A614C">
              <w:rPr>
                <w:rFonts w:cs="Arial"/>
              </w:rPr>
              <w:t>Spełnienie kryterium jest konieczne do przyznania dofinansowania.</w:t>
            </w:r>
          </w:p>
          <w:p w:rsidR="006B3CB4" w:rsidRPr="007A614C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7A614C">
              <w:rPr>
                <w:rFonts w:cs="Arial"/>
              </w:rPr>
              <w:t>Projekty niespełniające kryterium kierowane są do poprawy lub uzupełnienia.</w:t>
            </w:r>
          </w:p>
          <w:p w:rsidR="006B3CB4" w:rsidRPr="007A614C" w:rsidRDefault="006B3CB4" w:rsidP="007440E7">
            <w:pPr>
              <w:spacing w:before="40" w:after="40"/>
              <w:jc w:val="both"/>
              <w:rPr>
                <w:rFonts w:cs="Arial"/>
              </w:rPr>
            </w:pPr>
            <w:r w:rsidRPr="007A614C">
              <w:rPr>
                <w:rFonts w:cs="Arial"/>
              </w:rPr>
              <w:t>Ocena spełniania kryterium polega na przypisaniu wartości logicznych „tak”, „nie.</w:t>
            </w:r>
          </w:p>
        </w:tc>
      </w:tr>
    </w:tbl>
    <w:p w:rsidR="006B3CB4" w:rsidRPr="001A08C8" w:rsidRDefault="006B3CB4" w:rsidP="006B3CB4">
      <w:pPr>
        <w:spacing w:after="0"/>
        <w:rPr>
          <w:rFonts w:ascii="Myriad Pro" w:hAnsi="Myriad Pro"/>
          <w:b/>
          <w:sz w:val="20"/>
        </w:rPr>
      </w:pPr>
    </w:p>
    <w:p w:rsidR="006B3CB4" w:rsidRPr="001A08C8" w:rsidRDefault="006B3CB4" w:rsidP="006B3CB4">
      <w:pPr>
        <w:autoSpaceDE w:val="0"/>
        <w:autoSpaceDN w:val="0"/>
        <w:adjustRightInd w:val="0"/>
        <w:jc w:val="center"/>
        <w:rPr>
          <w:rFonts w:ascii="Myriad Pro" w:hAnsi="Myriad Pro" w:cs="Arial"/>
          <w:b/>
          <w:bCs/>
          <w:sz w:val="20"/>
        </w:rPr>
      </w:pPr>
      <w:r w:rsidRPr="001A08C8">
        <w:rPr>
          <w:rFonts w:ascii="Myriad Pro" w:hAnsi="Myriad Pro" w:cs="Arial"/>
          <w:b/>
          <w:sz w:val="20"/>
        </w:rPr>
        <w:t>Kryteria szczegółowe przyjęte Uchwałą</w:t>
      </w:r>
      <w:r w:rsidRPr="001A08C8">
        <w:rPr>
          <w:rFonts w:ascii="Myriad Pro" w:hAnsi="Myriad Pro" w:cs="Arial"/>
          <w:b/>
          <w:bCs/>
          <w:sz w:val="20"/>
        </w:rPr>
        <w:t xml:space="preserve"> Nr </w:t>
      </w:r>
      <w:r>
        <w:rPr>
          <w:rFonts w:ascii="Myriad Pro" w:hAnsi="Myriad Pro" w:cs="Arial"/>
          <w:b/>
          <w:bCs/>
          <w:sz w:val="20"/>
        </w:rPr>
        <w:t>…</w:t>
      </w:r>
      <w:r w:rsidRPr="001A08C8">
        <w:rPr>
          <w:rFonts w:ascii="Myriad Pro" w:hAnsi="Myriad Pro" w:cs="Arial"/>
          <w:b/>
          <w:bCs/>
          <w:sz w:val="20"/>
        </w:rPr>
        <w:t xml:space="preserve"> Komitetu Monitorującego RPO WZ 2014-2020 z dnia </w:t>
      </w:r>
      <w:r>
        <w:rPr>
          <w:rFonts w:ascii="Myriad Pro" w:hAnsi="Myriad Pro" w:cs="Arial"/>
          <w:b/>
          <w:bCs/>
          <w:sz w:val="20"/>
        </w:rPr>
        <w:t xml:space="preserve">… </w:t>
      </w:r>
      <w:r w:rsidRPr="001A08C8">
        <w:rPr>
          <w:rFonts w:ascii="Myriad Pro" w:hAnsi="Myriad Pro" w:cs="Arial"/>
          <w:b/>
          <w:bCs/>
          <w:sz w:val="20"/>
        </w:rPr>
        <w:t xml:space="preserve"> r.</w:t>
      </w:r>
      <w:r w:rsidRPr="001A08C8">
        <w:rPr>
          <w:rFonts w:ascii="Myriad Pro" w:hAnsi="Myriad Pro" w:cs="Arial"/>
          <w:b/>
          <w:sz w:val="20"/>
        </w:rPr>
        <w:t xml:space="preserve"> (tryb pozakonkursowy)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020"/>
      </w:tblGrid>
      <w:tr w:rsidR="006B3CB4" w:rsidRPr="00271141" w:rsidTr="007440E7">
        <w:trPr>
          <w:jc w:val="center"/>
        </w:trPr>
        <w:tc>
          <w:tcPr>
            <w:tcW w:w="2197" w:type="dxa"/>
            <w:shd w:val="clear" w:color="auto" w:fill="B4C6E7" w:themeFill="accent5" w:themeFillTint="66"/>
          </w:tcPr>
          <w:p w:rsidR="006B3CB4" w:rsidRPr="00271141" w:rsidRDefault="006B3CB4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Oś priorytetowa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6B3CB4" w:rsidRPr="00271141" w:rsidRDefault="006B3CB4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VII Włączenie społeczne</w:t>
            </w:r>
          </w:p>
        </w:tc>
      </w:tr>
      <w:tr w:rsidR="006B3CB4" w:rsidRPr="00271141" w:rsidTr="007440E7">
        <w:trPr>
          <w:jc w:val="center"/>
        </w:trPr>
        <w:tc>
          <w:tcPr>
            <w:tcW w:w="2197" w:type="dxa"/>
            <w:shd w:val="clear" w:color="auto" w:fill="B4C6E7" w:themeFill="accent5" w:themeFillTint="66"/>
          </w:tcPr>
          <w:p w:rsidR="006B3CB4" w:rsidRPr="00271141" w:rsidRDefault="006B3CB4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Priorytet Inwestycyjny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6B3CB4" w:rsidRPr="00271141" w:rsidRDefault="006B3CB4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eastAsia="Times New Roman" w:hAnsi="Myriad Pro"/>
                <w:sz w:val="20"/>
              </w:rPr>
              <w:t>9i Aktywne włączenie, w tym z myślą o promowaniu równych szans oraz aktywnego uczestnictwa i zwiększaniu szans na zatrudnienie</w:t>
            </w:r>
          </w:p>
        </w:tc>
      </w:tr>
      <w:tr w:rsidR="006B3CB4" w:rsidRPr="00271141" w:rsidTr="007440E7">
        <w:trPr>
          <w:jc w:val="center"/>
        </w:trPr>
        <w:tc>
          <w:tcPr>
            <w:tcW w:w="2197" w:type="dxa"/>
            <w:shd w:val="clear" w:color="auto" w:fill="B4C6E7" w:themeFill="accent5" w:themeFillTint="66"/>
          </w:tcPr>
          <w:p w:rsidR="006B3CB4" w:rsidRPr="00271141" w:rsidRDefault="006B3CB4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Działanie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6B3CB4" w:rsidRPr="008F5E4B" w:rsidRDefault="008218C2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AE1BCA">
              <w:rPr>
                <w:rFonts w:ascii="Myriad Pro" w:eastAsia="MyriadPro-Regular" w:hAnsi="Myriad Pro" w:cs="Arial"/>
                <w:sz w:val="20"/>
              </w:rPr>
              <w:t>7.6 Wsparcie rozwoju usług społecznych świadczonych w interesie ogólnym</w:t>
            </w:r>
          </w:p>
        </w:tc>
      </w:tr>
      <w:tr w:rsidR="006B3CB4" w:rsidRPr="00271141" w:rsidTr="007440E7">
        <w:trPr>
          <w:jc w:val="center"/>
        </w:trPr>
        <w:tc>
          <w:tcPr>
            <w:tcW w:w="2197" w:type="dxa"/>
            <w:shd w:val="clear" w:color="auto" w:fill="B4C6E7" w:themeFill="accent5" w:themeFillTint="66"/>
          </w:tcPr>
          <w:p w:rsidR="006B3CB4" w:rsidRPr="00271141" w:rsidRDefault="006B3CB4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Typ projektu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6B3CB4" w:rsidRPr="00D41B69" w:rsidRDefault="00D41B69" w:rsidP="00D41B69">
            <w:pPr>
              <w:spacing w:after="0" w:line="240" w:lineRule="auto"/>
              <w:jc w:val="both"/>
              <w:rPr>
                <w:rFonts w:cs="Arial"/>
              </w:rPr>
            </w:pPr>
            <w:r w:rsidRPr="00D41B69">
              <w:rPr>
                <w:rFonts w:eastAsia="MyriadPro-Regular" w:cs="Arial"/>
              </w:rPr>
              <w:t xml:space="preserve">4. </w:t>
            </w:r>
            <w:r w:rsidRPr="00D41B69">
              <w:rPr>
                <w:rFonts w:ascii="Myriad Pro" w:eastAsia="MyriadPro-Regular" w:hAnsi="Myriad Pro" w:cs="Arial"/>
                <w:sz w:val="20"/>
              </w:rPr>
              <w:t>Walka z wykluczeniem transportowym poprzez pilotaż „transportu na życzenie” na obszarach wskazanych w Raporcie Catching Up regions 3 Transport na obszarach wiejskich w Województwie Zachodniopomorskim</w:t>
            </w:r>
          </w:p>
        </w:tc>
      </w:tr>
    </w:tbl>
    <w:p w:rsidR="006B3CB4" w:rsidRDefault="006B3CB4" w:rsidP="006B3CB4">
      <w:pPr>
        <w:spacing w:after="0"/>
        <w:rPr>
          <w:rFonts w:ascii="Myriad Pro" w:hAnsi="Myriad Pro"/>
          <w:b/>
          <w:sz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342"/>
        <w:gridCol w:w="6050"/>
        <w:gridCol w:w="4937"/>
      </w:tblGrid>
      <w:tr w:rsidR="006B3CB4" w:rsidRPr="00271141" w:rsidTr="007440E7">
        <w:trPr>
          <w:jc w:val="center"/>
        </w:trPr>
        <w:tc>
          <w:tcPr>
            <w:tcW w:w="14600" w:type="dxa"/>
            <w:gridSpan w:val="4"/>
            <w:shd w:val="clear" w:color="auto" w:fill="D9D9D9" w:themeFill="background1" w:themeFillShade="D9"/>
          </w:tcPr>
          <w:p w:rsidR="006B3CB4" w:rsidRPr="00271141" w:rsidRDefault="006B3CB4" w:rsidP="007440E7">
            <w:pPr>
              <w:spacing w:before="40" w:after="40" w:line="240" w:lineRule="auto"/>
              <w:jc w:val="center"/>
              <w:rPr>
                <w:rFonts w:ascii="Myriad Pro" w:hAnsi="Myriad Pro"/>
                <w:b/>
                <w:sz w:val="20"/>
              </w:rPr>
            </w:pPr>
            <w:r w:rsidRPr="00271141">
              <w:rPr>
                <w:rFonts w:ascii="Myriad Pro" w:hAnsi="Myriad Pro"/>
                <w:b/>
                <w:sz w:val="20"/>
              </w:rPr>
              <w:t>Kryteria dopuszczalności</w:t>
            </w:r>
          </w:p>
        </w:tc>
      </w:tr>
      <w:tr w:rsidR="006B3CB4" w:rsidRPr="00271141" w:rsidTr="007440E7">
        <w:trPr>
          <w:jc w:val="center"/>
        </w:trPr>
        <w:tc>
          <w:tcPr>
            <w:tcW w:w="865" w:type="dxa"/>
          </w:tcPr>
          <w:p w:rsidR="006B3CB4" w:rsidRPr="00271141" w:rsidRDefault="006B3CB4" w:rsidP="007440E7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L.p.</w:t>
            </w:r>
          </w:p>
        </w:tc>
        <w:tc>
          <w:tcPr>
            <w:tcW w:w="2410" w:type="dxa"/>
          </w:tcPr>
          <w:p w:rsidR="006B3CB4" w:rsidRPr="00271141" w:rsidRDefault="006B3CB4" w:rsidP="007440E7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Nazwa kryterium</w:t>
            </w:r>
          </w:p>
        </w:tc>
        <w:tc>
          <w:tcPr>
            <w:tcW w:w="6237" w:type="dxa"/>
          </w:tcPr>
          <w:p w:rsidR="006B3CB4" w:rsidRPr="00271141" w:rsidRDefault="006B3CB4" w:rsidP="007440E7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Definicja kryterium</w:t>
            </w:r>
          </w:p>
        </w:tc>
        <w:tc>
          <w:tcPr>
            <w:tcW w:w="5088" w:type="dxa"/>
          </w:tcPr>
          <w:p w:rsidR="006B3CB4" w:rsidRPr="00271141" w:rsidRDefault="006B3CB4" w:rsidP="007440E7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Opis znaczenia kryterium</w:t>
            </w:r>
          </w:p>
        </w:tc>
      </w:tr>
      <w:tr w:rsidR="006B3CB4" w:rsidRPr="00271141" w:rsidTr="007440E7">
        <w:trPr>
          <w:jc w:val="center"/>
        </w:trPr>
        <w:tc>
          <w:tcPr>
            <w:tcW w:w="865" w:type="dxa"/>
          </w:tcPr>
          <w:p w:rsidR="006B3CB4" w:rsidRPr="00271141" w:rsidRDefault="006B3CB4" w:rsidP="007440E7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1</w:t>
            </w:r>
          </w:p>
        </w:tc>
        <w:tc>
          <w:tcPr>
            <w:tcW w:w="2410" w:type="dxa"/>
          </w:tcPr>
          <w:p w:rsidR="006B3CB4" w:rsidRPr="00271141" w:rsidRDefault="006B3CB4" w:rsidP="007440E7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2</w:t>
            </w:r>
          </w:p>
        </w:tc>
        <w:tc>
          <w:tcPr>
            <w:tcW w:w="6237" w:type="dxa"/>
          </w:tcPr>
          <w:p w:rsidR="006B3CB4" w:rsidRPr="00271141" w:rsidRDefault="006B3CB4" w:rsidP="007440E7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3</w:t>
            </w:r>
          </w:p>
        </w:tc>
        <w:tc>
          <w:tcPr>
            <w:tcW w:w="5088" w:type="dxa"/>
          </w:tcPr>
          <w:p w:rsidR="006B3CB4" w:rsidRPr="00271141" w:rsidRDefault="006B3CB4" w:rsidP="007440E7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4</w:t>
            </w:r>
          </w:p>
        </w:tc>
      </w:tr>
      <w:tr w:rsidR="006B3CB4" w:rsidRPr="00271141" w:rsidTr="007440E7">
        <w:trPr>
          <w:jc w:val="center"/>
        </w:trPr>
        <w:tc>
          <w:tcPr>
            <w:tcW w:w="865" w:type="dxa"/>
          </w:tcPr>
          <w:p w:rsidR="006B3CB4" w:rsidRPr="00271141" w:rsidRDefault="006B3CB4" w:rsidP="006B3CB4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contextualSpacing w:val="0"/>
            </w:pPr>
          </w:p>
        </w:tc>
        <w:tc>
          <w:tcPr>
            <w:tcW w:w="2410" w:type="dxa"/>
            <w:shd w:val="clear" w:color="auto" w:fill="auto"/>
          </w:tcPr>
          <w:p w:rsidR="006B3CB4" w:rsidRPr="00271141" w:rsidRDefault="006B3CB4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Wymogi organizacyjne</w:t>
            </w:r>
          </w:p>
        </w:tc>
        <w:tc>
          <w:tcPr>
            <w:tcW w:w="6237" w:type="dxa"/>
            <w:shd w:val="clear" w:color="auto" w:fill="auto"/>
          </w:tcPr>
          <w:p w:rsidR="00E17B04" w:rsidRPr="00AE4B4D" w:rsidRDefault="00180C59" w:rsidP="00AE4B4D">
            <w:pPr>
              <w:pStyle w:val="Akapitzlist"/>
              <w:numPr>
                <w:ilvl w:val="0"/>
                <w:numId w:val="25"/>
              </w:numPr>
              <w:tabs>
                <w:tab w:val="left" w:pos="0"/>
              </w:tabs>
              <w:spacing w:after="0" w:line="240" w:lineRule="auto"/>
              <w:ind w:left="334"/>
              <w:jc w:val="both"/>
              <w:rPr>
                <w:rFonts w:ascii="Arial" w:eastAsiaTheme="majorEastAsia" w:hAnsi="Arial" w:cs="Arial"/>
                <w:b/>
                <w:bCs/>
                <w:color w:val="5B9BD5" w:themeColor="accent1"/>
                <w:sz w:val="20"/>
              </w:rPr>
            </w:pPr>
            <w:r w:rsidRPr="00AE4B4D">
              <w:rPr>
                <w:rFonts w:ascii="Arial" w:hAnsi="Arial" w:cs="Arial"/>
                <w:sz w:val="20"/>
              </w:rPr>
              <w:t>Projektodawca</w:t>
            </w:r>
            <w:r w:rsidRPr="00AE4B4D">
              <w:rPr>
                <w:rFonts w:ascii="Arial" w:hAnsi="Arial" w:cs="Arial"/>
                <w:bCs/>
                <w:sz w:val="20"/>
              </w:rPr>
              <w:t xml:space="preserve"> składa nie więcej niż jeden wniosek o dofinansowanie projektu w ramach naboru </w:t>
            </w:r>
            <w:r w:rsidRPr="00AE4B4D">
              <w:rPr>
                <w:rFonts w:ascii="Arial" w:hAnsi="Arial" w:cs="Arial"/>
                <w:sz w:val="20"/>
              </w:rPr>
              <w:t>na jedną linię pilotażową wskazaną w Raporcie Catching Up Regions 3 Transport na obszarach wiejskich w Województwie Zachodniopomorskim tj</w:t>
            </w:r>
            <w:r w:rsidR="00AE4B4D">
              <w:rPr>
                <w:rFonts w:ascii="Arial" w:hAnsi="Arial" w:cs="Arial"/>
                <w:sz w:val="20"/>
              </w:rPr>
              <w:t>:</w:t>
            </w:r>
          </w:p>
          <w:p w:rsidR="00180C59" w:rsidRPr="00180C59" w:rsidRDefault="00BE29BE" w:rsidP="00180C5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9BE">
              <w:rPr>
                <w:rFonts w:ascii="Arial" w:hAnsi="Arial" w:cs="Arial"/>
                <w:sz w:val="20"/>
                <w:szCs w:val="20"/>
              </w:rPr>
              <w:t>:  dla odcinka Wysoka Kamieńska;</w:t>
            </w:r>
          </w:p>
          <w:p w:rsidR="00180C59" w:rsidRPr="00180C59" w:rsidRDefault="00BE29BE" w:rsidP="00180C5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9BE">
              <w:rPr>
                <w:rFonts w:ascii="Arial" w:hAnsi="Arial" w:cs="Arial"/>
                <w:sz w:val="20"/>
                <w:szCs w:val="20"/>
              </w:rPr>
              <w:t>dla odcinka Lubin;</w:t>
            </w:r>
          </w:p>
          <w:p w:rsidR="00180C59" w:rsidRPr="00180C59" w:rsidRDefault="00BE29BE" w:rsidP="00180C5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9BE">
              <w:rPr>
                <w:rFonts w:ascii="Arial" w:hAnsi="Arial" w:cs="Arial"/>
                <w:sz w:val="20"/>
                <w:szCs w:val="20"/>
              </w:rPr>
              <w:t>dla odcinka Wolin;</w:t>
            </w:r>
          </w:p>
          <w:p w:rsidR="00180C59" w:rsidRPr="00180C59" w:rsidRDefault="00BE29BE" w:rsidP="00180C5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9BE">
              <w:rPr>
                <w:rFonts w:ascii="Arial" w:hAnsi="Arial" w:cs="Arial"/>
                <w:sz w:val="20"/>
                <w:szCs w:val="20"/>
              </w:rPr>
              <w:t>dla odcinka Runowo Pomorskie;</w:t>
            </w:r>
          </w:p>
          <w:p w:rsidR="00180C59" w:rsidRPr="00180C59" w:rsidRDefault="00BE29BE" w:rsidP="00180C5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9BE">
              <w:rPr>
                <w:rFonts w:ascii="Arial" w:hAnsi="Arial" w:cs="Arial"/>
                <w:sz w:val="20"/>
                <w:szCs w:val="20"/>
              </w:rPr>
              <w:t>dla odcinka Wierzchowo;</w:t>
            </w:r>
          </w:p>
          <w:p w:rsidR="00180C59" w:rsidRPr="00180C59" w:rsidRDefault="00BE29BE" w:rsidP="00180C5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9BE">
              <w:rPr>
                <w:rFonts w:ascii="Arial" w:hAnsi="Arial" w:cs="Arial"/>
                <w:sz w:val="20"/>
                <w:szCs w:val="20"/>
              </w:rPr>
              <w:t>dla odcinka Sławoborze.</w:t>
            </w:r>
          </w:p>
          <w:p w:rsidR="006B3CB4" w:rsidRPr="00B0068D" w:rsidRDefault="00A83FC2" w:rsidP="00B0068D">
            <w:pPr>
              <w:spacing w:before="40" w:after="40"/>
              <w:jc w:val="both"/>
              <w:rPr>
                <w:rFonts w:ascii="Myriad Pro" w:hAnsi="Myriad Pro"/>
                <w:sz w:val="20"/>
              </w:rPr>
            </w:pPr>
            <w:r w:rsidRPr="00B0068D">
              <w:rPr>
                <w:rFonts w:ascii="Myriad Pro" w:eastAsia="MyriadPro-Regular" w:hAnsi="Myriad Pro" w:cs="Arial"/>
                <w:sz w:val="20"/>
              </w:rPr>
              <w:t>.</w:t>
            </w:r>
            <w:r w:rsidRPr="00B0068D">
              <w:rPr>
                <w:rFonts w:ascii="Myriad Pro" w:hAnsi="Myriad Pro" w:cs="Arial"/>
                <w:sz w:val="20"/>
              </w:rPr>
              <w:t xml:space="preserve"> </w:t>
            </w:r>
          </w:p>
        </w:tc>
        <w:tc>
          <w:tcPr>
            <w:tcW w:w="5088" w:type="dxa"/>
            <w:shd w:val="clear" w:color="auto" w:fill="auto"/>
          </w:tcPr>
          <w:p w:rsidR="006B3CB4" w:rsidRPr="00271141" w:rsidRDefault="006B3CB4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Spełnienie kryterium jest konieczne do przyznania dofinansowania.</w:t>
            </w:r>
          </w:p>
          <w:p w:rsidR="006B3CB4" w:rsidRPr="00271141" w:rsidRDefault="006B3CB4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Projekt niespełniające kryterium kierowane są do poprawy lub uzupełnienia.</w:t>
            </w:r>
          </w:p>
          <w:p w:rsidR="006B3CB4" w:rsidRPr="00271141" w:rsidRDefault="006B3CB4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Ocena spełniania kryterium polega na przypisaniu wartości logicznych „tak”, „nie”.</w:t>
            </w:r>
          </w:p>
        </w:tc>
      </w:tr>
      <w:tr w:rsidR="006B3CB4" w:rsidRPr="00271141" w:rsidTr="007440E7">
        <w:trPr>
          <w:jc w:val="center"/>
        </w:trPr>
        <w:tc>
          <w:tcPr>
            <w:tcW w:w="865" w:type="dxa"/>
          </w:tcPr>
          <w:p w:rsidR="006B3CB4" w:rsidRPr="00271141" w:rsidRDefault="006B3CB4" w:rsidP="006B3CB4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contextualSpacing w:val="0"/>
            </w:pPr>
          </w:p>
        </w:tc>
        <w:tc>
          <w:tcPr>
            <w:tcW w:w="2410" w:type="dxa"/>
            <w:shd w:val="clear" w:color="auto" w:fill="auto"/>
          </w:tcPr>
          <w:p w:rsidR="006B3CB4" w:rsidRPr="00271141" w:rsidRDefault="006B3CB4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Zgodność wsparcia</w:t>
            </w:r>
          </w:p>
        </w:tc>
        <w:tc>
          <w:tcPr>
            <w:tcW w:w="6237" w:type="dxa"/>
            <w:shd w:val="clear" w:color="auto" w:fill="auto"/>
          </w:tcPr>
          <w:p w:rsidR="00E17B04" w:rsidRDefault="00BE29BE">
            <w:pPr>
              <w:pStyle w:val="Akapitzlist"/>
              <w:numPr>
                <w:ilvl w:val="0"/>
                <w:numId w:val="18"/>
              </w:numPr>
              <w:spacing w:before="240" w:after="4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BE29BE">
              <w:rPr>
                <w:rFonts w:ascii="Arial" w:hAnsi="Arial" w:cs="Arial"/>
                <w:bCs/>
                <w:sz w:val="20"/>
                <w:szCs w:val="20"/>
              </w:rPr>
              <w:t>Projektodawca wniesie wkład własny w wysokości nie mniejszej niż 5% wartości projektu, zgodnie z zapisami zawartymi w Szczegółowym Opisie Osi Priorytetowych Regionalnego Programu Operacyjnego Województwa Zachodniopomorskiego 2014-2020. Opłaty pobierane przez Beneficjenta od osób korzystających z transportu za przewóz na dofinansowanych liniach stanowią wkład własny</w:t>
            </w:r>
            <w:r w:rsidR="00B4106E">
              <w:rPr>
                <w:rFonts w:ascii="Arial" w:hAnsi="Arial" w:cs="Arial"/>
                <w:bCs/>
                <w:sz w:val="20"/>
                <w:szCs w:val="20"/>
              </w:rPr>
              <w:t xml:space="preserve"> Beneficjenta.</w:t>
            </w:r>
            <w:r w:rsidR="00180C59" w:rsidRPr="00B4106E">
              <w:rPr>
                <w:rFonts w:ascii="Arial" w:hAnsi="Arial" w:cs="Arial"/>
                <w:bCs/>
                <w:sz w:val="20"/>
                <w:szCs w:val="20"/>
              </w:rPr>
              <w:t xml:space="preserve"> Opłaty te nie będą stanowiły bariery korzystania z tych przewozów</w:t>
            </w:r>
            <w:r w:rsidR="003531AC">
              <w:rPr>
                <w:rFonts w:ascii="Arial" w:hAnsi="Arial" w:cs="Arial"/>
                <w:bCs/>
                <w:strike/>
                <w:sz w:val="20"/>
                <w:szCs w:val="20"/>
              </w:rPr>
              <w:t>.</w:t>
            </w:r>
          </w:p>
          <w:p w:rsidR="00B4106E" w:rsidRPr="00B4106E" w:rsidRDefault="00B4106E" w:rsidP="00B4106E">
            <w:pPr>
              <w:pStyle w:val="Akapitzlist"/>
              <w:numPr>
                <w:ilvl w:val="0"/>
                <w:numId w:val="0"/>
              </w:numPr>
              <w:spacing w:before="240" w:after="40" w:line="240" w:lineRule="auto"/>
              <w:ind w:left="394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B4106E" w:rsidRPr="00B4106E" w:rsidRDefault="00180C59" w:rsidP="00B4106E">
            <w:pPr>
              <w:pStyle w:val="Akapitzlist"/>
              <w:numPr>
                <w:ilvl w:val="0"/>
                <w:numId w:val="18"/>
              </w:numPr>
              <w:spacing w:before="240" w:after="4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B4106E">
              <w:rPr>
                <w:rFonts w:ascii="Arial" w:hAnsi="Arial" w:cs="Arial"/>
                <w:sz w:val="20"/>
                <w:szCs w:val="20"/>
              </w:rPr>
              <w:t>Maksymalna wartość dofinansowania projektu wynosi 100 000 EUR (do przeliczenia ww. kwoty na PLN należy stosować miesięczny obrachunkowy kurs wymiany stosowany przez KE (kurs opublikowany w:http://ec.europa.eu/budget/contracts_grants/info_contracts/inforeuro/index_en.cfm) aktualny na dzień ogłoszenia naboru.</w:t>
            </w:r>
            <w:r w:rsidRPr="00B4106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4106E">
              <w:rPr>
                <w:rFonts w:ascii="Arial" w:eastAsia="MyriadPro-Regular" w:hAnsi="Arial" w:cs="Arial"/>
                <w:sz w:val="20"/>
                <w:szCs w:val="20"/>
              </w:rPr>
              <w:t xml:space="preserve">Koszty bezpośrednie projektu </w:t>
            </w:r>
            <w:r w:rsidRPr="00B4106E">
              <w:rPr>
                <w:rFonts w:ascii="Arial" w:eastAsia="MyriadPro-Regular" w:hAnsi="Arial" w:cs="Arial"/>
                <w:b/>
                <w:sz w:val="20"/>
                <w:szCs w:val="20"/>
              </w:rPr>
              <w:t>są</w:t>
            </w:r>
            <w:r w:rsidRPr="00B4106E">
              <w:rPr>
                <w:rFonts w:ascii="Arial" w:eastAsia="MyriadPro-Regular" w:hAnsi="Arial" w:cs="Arial"/>
                <w:sz w:val="20"/>
                <w:szCs w:val="20"/>
              </w:rPr>
              <w:t xml:space="preserve"> rozliczane w całości kwotami ryczałtowymi określonymi przez Beneficjenta</w:t>
            </w:r>
            <w:r w:rsidR="00B4106E">
              <w:rPr>
                <w:rFonts w:ascii="Arial" w:eastAsia="MyriadPro-Regular" w:hAnsi="Arial" w:cs="Arial"/>
                <w:sz w:val="20"/>
                <w:szCs w:val="20"/>
              </w:rPr>
              <w:t>;</w:t>
            </w:r>
          </w:p>
          <w:p w:rsidR="00B4106E" w:rsidRPr="00B4106E" w:rsidRDefault="00B4106E" w:rsidP="00B4106E">
            <w:pPr>
              <w:pStyle w:val="Akapitzlist"/>
              <w:numPr>
                <w:ilvl w:val="0"/>
                <w:numId w:val="0"/>
              </w:numPr>
              <w:spacing w:before="240" w:after="40" w:line="240" w:lineRule="auto"/>
              <w:ind w:left="394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EA6CF5" w:rsidRPr="00EA6CF5" w:rsidRDefault="00180C59" w:rsidP="00EA6CF5">
            <w:pPr>
              <w:pStyle w:val="Akapitzlist"/>
              <w:numPr>
                <w:ilvl w:val="0"/>
                <w:numId w:val="18"/>
              </w:numPr>
              <w:spacing w:before="240" w:after="4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B4106E">
              <w:rPr>
                <w:rFonts w:ascii="Arial" w:hAnsi="Arial" w:cs="Arial"/>
                <w:bCs/>
                <w:sz w:val="20"/>
                <w:szCs w:val="20"/>
              </w:rPr>
              <w:t xml:space="preserve">Grupę docelową projektu stanowią gminy z terenu województwa zachodniopomorskiego doświadczające wykluczenia transportowego wskazane </w:t>
            </w:r>
            <w:r w:rsidRPr="00B4106E">
              <w:rPr>
                <w:rFonts w:ascii="Arial" w:hAnsi="Arial" w:cs="Arial"/>
                <w:sz w:val="20"/>
                <w:szCs w:val="20"/>
              </w:rPr>
              <w:t>w Raporcie Catching Up Regions 3 Transport na obszarach wiejskich w Województwie Zachodniopomorskim</w:t>
            </w:r>
            <w:r w:rsidR="00B4106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A6CF5" w:rsidRPr="00EA6CF5" w:rsidRDefault="00EA6CF5" w:rsidP="00EA6CF5">
            <w:pPr>
              <w:pStyle w:val="Akapitzlist"/>
              <w:numPr>
                <w:ilvl w:val="0"/>
                <w:numId w:val="0"/>
              </w:numPr>
              <w:ind w:left="1440"/>
              <w:rPr>
                <w:rFonts w:ascii="Arial" w:hAnsi="Arial" w:cs="Arial"/>
                <w:szCs w:val="20"/>
              </w:rPr>
            </w:pPr>
          </w:p>
          <w:p w:rsidR="003D56B5" w:rsidRPr="003D56B5" w:rsidRDefault="0092615C" w:rsidP="003D56B5">
            <w:pPr>
              <w:pStyle w:val="Akapitzlist"/>
              <w:numPr>
                <w:ilvl w:val="0"/>
                <w:numId w:val="18"/>
              </w:numPr>
              <w:spacing w:before="240" w:after="4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zakłada utworzenie dyspozytorni obsługującej dofinansowane linie pilotażowe na terenie danego powiatu. W przypadku gdy dyspozytornia na terenie powiatu została już utworzona</w:t>
            </w:r>
            <w:r>
              <w:rPr>
                <w:rFonts w:ascii="Arial" w:hAnsi="Arial" w:cs="Arial"/>
                <w:color w:val="7030A0"/>
                <w:sz w:val="20"/>
                <w:szCs w:val="20"/>
              </w:rPr>
              <w:t>/planowana jest do utworzenia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w ramach innego projektu wyłonionego w ramach naboru, za kwalifikowalne koszty w ramach projektu uznane mogą zostać koszty dyspozytorni związane jedynie z rozszerzeniem jej działalności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lub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koszty jej tworzenia/funkcjonowania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powinny zostać rozdzielone proporcjonalnie w poszczególnych projektach.</w:t>
            </w:r>
            <w:r w:rsidR="00EA6CF5" w:rsidRPr="00EA6C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A6CF5" w:rsidRPr="00EA6CF5" w:rsidRDefault="00EA6CF5" w:rsidP="00EA6CF5">
            <w:pPr>
              <w:pStyle w:val="Akapitzlist"/>
              <w:numPr>
                <w:ilvl w:val="0"/>
                <w:numId w:val="0"/>
              </w:numPr>
              <w:spacing w:before="240" w:after="40" w:line="240" w:lineRule="auto"/>
              <w:ind w:left="394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1F7BCC" w:rsidRDefault="00B4106E">
            <w:pPr>
              <w:pStyle w:val="Akapitzlist"/>
              <w:numPr>
                <w:ilvl w:val="0"/>
                <w:numId w:val="18"/>
              </w:numPr>
              <w:spacing w:before="240" w:after="4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B4106E">
              <w:rPr>
                <w:rFonts w:ascii="Arial" w:hAnsi="Arial" w:cs="Arial"/>
                <w:sz w:val="20"/>
                <w:szCs w:val="20"/>
              </w:rPr>
              <w:t xml:space="preserve">W ramach projektu zostanie wyłoniony min. jeden operator </w:t>
            </w:r>
            <w:r w:rsidRPr="00B4106E">
              <w:rPr>
                <w:rFonts w:ascii="Arial" w:hAnsi="Arial" w:cs="Arial"/>
                <w:sz w:val="20"/>
                <w:szCs w:val="20"/>
              </w:rPr>
              <w:lastRenderedPageBreak/>
              <w:t>obsługujący transport na żądanie.</w:t>
            </w:r>
          </w:p>
          <w:p w:rsidR="001F7BCC" w:rsidRDefault="001F7BCC">
            <w:pPr>
              <w:pStyle w:val="Akapitzlist"/>
              <w:numPr>
                <w:ilvl w:val="0"/>
                <w:numId w:val="0"/>
              </w:numPr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1F7BCC" w:rsidRDefault="00EA6CF5" w:rsidP="00E304BD">
            <w:pPr>
              <w:rPr>
                <w:rFonts w:ascii="Myriad Pro" w:hAnsi="Myriad Pro"/>
              </w:rPr>
            </w:pPr>
            <w:r w:rsidRPr="00EA6CF5">
              <w:rPr>
                <w:rFonts w:ascii="Arial" w:hAnsi="Arial" w:cs="Arial"/>
                <w:sz w:val="20"/>
              </w:rPr>
              <w:t xml:space="preserve">6. Okres realizacji projektu trwa minimum 12 miesięcy, a data jego zakończenia nie przekracza 31.12.2022 r. </w:t>
            </w:r>
          </w:p>
          <w:p w:rsidR="001F7BCC" w:rsidRDefault="00B4106E" w:rsidP="00E304BD">
            <w:pPr>
              <w:pStyle w:val="Akapitzlist"/>
              <w:numPr>
                <w:ilvl w:val="0"/>
                <w:numId w:val="27"/>
              </w:numPr>
              <w:spacing w:before="240" w:after="4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B4106E">
              <w:rPr>
                <w:rFonts w:ascii="Arial" w:hAnsi="Arial" w:cs="Arial"/>
                <w:sz w:val="20"/>
                <w:szCs w:val="20"/>
              </w:rPr>
              <w:t>Projekt realizowany jest w partnerstwie pomiędzy następującymi podmiotami:</w:t>
            </w:r>
          </w:p>
          <w:p w:rsidR="00B4106E" w:rsidRPr="00B4106E" w:rsidRDefault="00B4106E" w:rsidP="00B4106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before="240" w:after="0" w:line="240" w:lineRule="auto"/>
              <w:ind w:left="7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06E">
              <w:rPr>
                <w:rFonts w:ascii="Arial" w:hAnsi="Arial" w:cs="Arial"/>
                <w:sz w:val="20"/>
                <w:szCs w:val="20"/>
              </w:rPr>
              <w:t>dla odcinka Wysoka Kamieńska - Gmina Golczewo/Powiat Kamieński</w:t>
            </w:r>
            <w:r w:rsidR="003D56B5">
              <w:rPr>
                <w:rFonts w:ascii="Arial" w:hAnsi="Arial" w:cs="Arial"/>
                <w:sz w:val="20"/>
                <w:szCs w:val="20"/>
              </w:rPr>
              <w:t xml:space="preserve"> i/lub</w:t>
            </w:r>
            <w:r w:rsidRPr="00B4106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4106E" w:rsidRPr="00B4106E" w:rsidRDefault="00B4106E" w:rsidP="00B4106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before="240" w:after="0" w:line="240" w:lineRule="auto"/>
              <w:ind w:left="7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06E">
              <w:rPr>
                <w:rFonts w:ascii="Arial" w:hAnsi="Arial" w:cs="Arial"/>
                <w:sz w:val="20"/>
                <w:szCs w:val="20"/>
              </w:rPr>
              <w:t>dla odcinka Lubin -  Gmina Międzyzdroje/Powiat Kamieński</w:t>
            </w:r>
            <w:r w:rsidR="003D56B5">
              <w:rPr>
                <w:rFonts w:ascii="Arial" w:hAnsi="Arial" w:cs="Arial"/>
                <w:sz w:val="20"/>
                <w:szCs w:val="20"/>
              </w:rPr>
              <w:t xml:space="preserve"> i/lub</w:t>
            </w:r>
            <w:r w:rsidRPr="00B4106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4106E" w:rsidRPr="00B4106E" w:rsidRDefault="00B4106E" w:rsidP="00B4106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before="240" w:after="0" w:line="240" w:lineRule="auto"/>
              <w:ind w:left="7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06E">
              <w:rPr>
                <w:rFonts w:ascii="Arial" w:hAnsi="Arial" w:cs="Arial"/>
                <w:sz w:val="20"/>
                <w:szCs w:val="20"/>
              </w:rPr>
              <w:t>dla odcinka Wolin – Gmina Wolin/ Powiat Kamieński;</w:t>
            </w:r>
          </w:p>
          <w:p w:rsidR="00B4106E" w:rsidRPr="00B4106E" w:rsidRDefault="00B4106E" w:rsidP="00B4106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before="240" w:after="0" w:line="240" w:lineRule="auto"/>
              <w:ind w:left="7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06E">
              <w:rPr>
                <w:rFonts w:ascii="Arial" w:hAnsi="Arial" w:cs="Arial"/>
                <w:sz w:val="20"/>
                <w:szCs w:val="20"/>
              </w:rPr>
              <w:t>dla odcinka Runowo Pomorskie – Gmina Węgorzyno/Powiat Łobeski;</w:t>
            </w:r>
          </w:p>
          <w:p w:rsidR="00B4106E" w:rsidRPr="00B4106E" w:rsidRDefault="00B4106E" w:rsidP="00B4106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before="240" w:after="0" w:line="240" w:lineRule="auto"/>
              <w:ind w:left="7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06E">
              <w:rPr>
                <w:rFonts w:ascii="Arial" w:hAnsi="Arial" w:cs="Arial"/>
                <w:sz w:val="20"/>
                <w:szCs w:val="20"/>
              </w:rPr>
              <w:t>dla odcinka Wierzchowo – Gmina Wierzchowo/Powiat Drawski;</w:t>
            </w:r>
          </w:p>
          <w:p w:rsidR="00B4106E" w:rsidRPr="00B4106E" w:rsidRDefault="00B4106E" w:rsidP="00B4106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before="240" w:after="0" w:line="240" w:lineRule="auto"/>
              <w:ind w:left="7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06E">
              <w:rPr>
                <w:rFonts w:ascii="Arial" w:hAnsi="Arial" w:cs="Arial"/>
                <w:sz w:val="20"/>
                <w:szCs w:val="20"/>
              </w:rPr>
              <w:t>dla odcinka Sławoborze – Gmina Sławoborze/Powiat Świdwiński.</w:t>
            </w:r>
          </w:p>
          <w:p w:rsidR="00B4106E" w:rsidRDefault="00B4106E" w:rsidP="00B4106E">
            <w:pPr>
              <w:pStyle w:val="Akapitzlist"/>
              <w:numPr>
                <w:ilvl w:val="0"/>
                <w:numId w:val="0"/>
              </w:numPr>
              <w:spacing w:before="240" w:after="40" w:line="240" w:lineRule="auto"/>
              <w:ind w:left="743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B4106E" w:rsidRDefault="00B4106E" w:rsidP="00B4106E">
            <w:pPr>
              <w:pStyle w:val="Akapitzlist"/>
              <w:numPr>
                <w:ilvl w:val="0"/>
                <w:numId w:val="0"/>
              </w:numPr>
              <w:spacing w:before="40" w:after="40" w:line="240" w:lineRule="auto"/>
              <w:ind w:left="394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5E10E3" w:rsidRDefault="00B0068D" w:rsidP="00DD0D10">
            <w:pPr>
              <w:jc w:val="both"/>
              <w:rPr>
                <w:rFonts w:ascii="Myriad Pro" w:hAnsi="Myriad Pro" w:cs="Arial"/>
                <w:sz w:val="20"/>
              </w:rPr>
            </w:pPr>
            <w:r w:rsidRPr="00F440CC">
              <w:rPr>
                <w:rFonts w:ascii="Myriad Pro" w:hAnsi="Myriad Pro" w:cs="Arial"/>
                <w:sz w:val="20"/>
              </w:rPr>
              <w:t xml:space="preserve"> </w:t>
            </w:r>
          </w:p>
          <w:p w:rsidR="000F48C8" w:rsidRPr="00D41B69" w:rsidRDefault="000F48C8" w:rsidP="00DD0D10">
            <w:pPr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5088" w:type="dxa"/>
            <w:shd w:val="clear" w:color="auto" w:fill="auto"/>
          </w:tcPr>
          <w:p w:rsidR="006B3CB4" w:rsidRPr="00271141" w:rsidRDefault="006B3CB4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lastRenderedPageBreak/>
              <w:t>Spełnienie kryterium jest konieczne do przyznania dofinansowania.</w:t>
            </w:r>
          </w:p>
          <w:p w:rsidR="001F7BCC" w:rsidRDefault="006B3CB4">
            <w:pPr>
              <w:tabs>
                <w:tab w:val="left" w:pos="0"/>
                <w:tab w:val="left" w:pos="96"/>
              </w:tabs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Projekt niespełniające kryterium kierowane są do poprawy lub uzupełnienia.</w:t>
            </w:r>
          </w:p>
          <w:p w:rsidR="001F7BCC" w:rsidRDefault="001F7BCC">
            <w:pPr>
              <w:tabs>
                <w:tab w:val="left" w:pos="0"/>
                <w:tab w:val="left" w:pos="96"/>
              </w:tabs>
              <w:spacing w:before="40" w:after="40" w:line="240" w:lineRule="auto"/>
              <w:rPr>
                <w:rFonts w:ascii="Myriad Pro" w:hAnsi="Myriad Pro"/>
                <w:sz w:val="20"/>
              </w:rPr>
            </w:pPr>
          </w:p>
          <w:p w:rsidR="001F7BCC" w:rsidRDefault="006B3CB4">
            <w:pPr>
              <w:tabs>
                <w:tab w:val="left" w:pos="0"/>
              </w:tabs>
              <w:spacing w:before="40" w:after="40" w:line="240" w:lineRule="auto"/>
              <w:rPr>
                <w:rFonts w:ascii="Myriad Pro" w:hAnsi="Myriad Pro"/>
                <w:sz w:val="20"/>
              </w:rPr>
            </w:pPr>
            <w:r w:rsidRPr="00271141">
              <w:rPr>
                <w:rFonts w:ascii="Myriad Pro" w:hAnsi="Myriad Pro"/>
                <w:sz w:val="20"/>
              </w:rPr>
              <w:t>Ocena spełniania kryterium polega na przypisaniu wartości logicznych „tak”, „nie”.</w:t>
            </w:r>
          </w:p>
          <w:p w:rsidR="001F7BCC" w:rsidRDefault="001F7BCC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</w:p>
          <w:p w:rsidR="00743B8B" w:rsidRPr="00271141" w:rsidRDefault="003531AC" w:rsidP="007440E7">
            <w:pPr>
              <w:spacing w:before="40" w:after="40" w:line="240" w:lineRule="auto"/>
              <w:rPr>
                <w:rFonts w:ascii="Myriad Pro" w:hAnsi="Myriad Pro"/>
                <w:sz w:val="20"/>
              </w:rPr>
            </w:pPr>
            <w:r>
              <w:rPr>
                <w:rFonts w:ascii="Arial" w:hAnsi="Arial" w:cs="Arial"/>
              </w:rPr>
              <w:t>W zakresie kryterium nr 6 na podstawie art. 45 ust. 3 ustawy z dnia 11 lipca 2014 r. o zasadach realizacji programów w zakresie polityki spójności finansowanych w perspektywie finansowej 2014–2020 (Dz. U. z 2018 r. poz. 1431) na etapie realizacji projektu, na wniosek lub za zgodą IP, dopuszcza się możliwość odstępstwa w zakresie warunku zakończenia projektu do 31.12.2022 roku.</w:t>
            </w:r>
          </w:p>
        </w:tc>
      </w:tr>
    </w:tbl>
    <w:p w:rsidR="005B5A00" w:rsidRDefault="00E304BD"/>
    <w:sectPr w:rsidR="005B5A00" w:rsidSect="006B3C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F4D7C4" w15:done="0"/>
  <w15:commentEx w15:paraId="3D063180" w15:done="0"/>
  <w15:commentEx w15:paraId="31A5D74A" w15:done="0"/>
  <w15:commentEx w15:paraId="4240F8EA" w15:done="0"/>
  <w15:commentEx w15:paraId="519A0A57" w15:done="0"/>
  <w15:commentEx w15:paraId="1D8B8393" w15:done="0"/>
  <w15:commentEx w15:paraId="0C435B53" w15:done="0"/>
  <w15:commentEx w15:paraId="0F13261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orbel"/>
    <w:panose1 w:val="020B0503030403020204"/>
    <w:charset w:val="EE"/>
    <w:family w:val="auto"/>
    <w:notTrueType/>
    <w:pitch w:val="default"/>
    <w:sig w:usb0="00000005" w:usb1="00000000" w:usb2="00000000" w:usb3="00000000" w:csb0="00000002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ED2"/>
    <w:multiLevelType w:val="hybridMultilevel"/>
    <w:tmpl w:val="BA246D46"/>
    <w:lvl w:ilvl="0" w:tplc="56845E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C693A"/>
    <w:multiLevelType w:val="hybridMultilevel"/>
    <w:tmpl w:val="7C508038"/>
    <w:lvl w:ilvl="0" w:tplc="98D6ED6A">
      <w:start w:val="7"/>
      <w:numFmt w:val="decimal"/>
      <w:lvlText w:val="%1."/>
      <w:lvlJc w:val="left"/>
      <w:pPr>
        <w:ind w:left="754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69E0E9F"/>
    <w:multiLevelType w:val="hybridMultilevel"/>
    <w:tmpl w:val="20060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82887"/>
    <w:multiLevelType w:val="hybridMultilevel"/>
    <w:tmpl w:val="FC42F444"/>
    <w:lvl w:ilvl="0" w:tplc="041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8E40AD4"/>
    <w:multiLevelType w:val="hybridMultilevel"/>
    <w:tmpl w:val="A71EB8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60C4"/>
    <w:multiLevelType w:val="hybridMultilevel"/>
    <w:tmpl w:val="01C2ABB6"/>
    <w:lvl w:ilvl="0" w:tplc="57107BD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33EF229C"/>
    <w:multiLevelType w:val="hybridMultilevel"/>
    <w:tmpl w:val="D110D400"/>
    <w:lvl w:ilvl="0" w:tplc="A6E6535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03CE4"/>
    <w:multiLevelType w:val="hybridMultilevel"/>
    <w:tmpl w:val="AC28237C"/>
    <w:lvl w:ilvl="0" w:tplc="BE288E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5B77DAA"/>
    <w:multiLevelType w:val="hybridMultilevel"/>
    <w:tmpl w:val="DACA0B98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A0652"/>
    <w:multiLevelType w:val="hybridMultilevel"/>
    <w:tmpl w:val="DC3C8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18F7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07DF7"/>
    <w:multiLevelType w:val="hybridMultilevel"/>
    <w:tmpl w:val="B77CA8BE"/>
    <w:lvl w:ilvl="0" w:tplc="312E1C14">
      <w:start w:val="1"/>
      <w:numFmt w:val="decimal"/>
      <w:lvlText w:val="%1."/>
      <w:lvlJc w:val="left"/>
      <w:pPr>
        <w:ind w:left="360" w:hanging="360"/>
      </w:pPr>
      <w:rPr>
        <w:rFonts w:ascii="Myriad Pro" w:hAnsi="Myriad Pro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9008AA"/>
    <w:multiLevelType w:val="hybridMultilevel"/>
    <w:tmpl w:val="00424E90"/>
    <w:lvl w:ilvl="0" w:tplc="57107BD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45283FE6"/>
    <w:multiLevelType w:val="hybridMultilevel"/>
    <w:tmpl w:val="CEF88AC2"/>
    <w:lvl w:ilvl="0" w:tplc="749033A6">
      <w:start w:val="2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 w:tentative="1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3">
    <w:nsid w:val="458D7897"/>
    <w:multiLevelType w:val="hybridMultilevel"/>
    <w:tmpl w:val="29889046"/>
    <w:lvl w:ilvl="0" w:tplc="700E2F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13901"/>
    <w:multiLevelType w:val="hybridMultilevel"/>
    <w:tmpl w:val="194AAA2E"/>
    <w:lvl w:ilvl="0" w:tplc="33C6A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B5EA9"/>
    <w:multiLevelType w:val="hybridMultilevel"/>
    <w:tmpl w:val="AC28237C"/>
    <w:lvl w:ilvl="0" w:tplc="BE288E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514F7DCD"/>
    <w:multiLevelType w:val="hybridMultilevel"/>
    <w:tmpl w:val="06321248"/>
    <w:lvl w:ilvl="0" w:tplc="A10A6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E707B"/>
    <w:multiLevelType w:val="hybridMultilevel"/>
    <w:tmpl w:val="D972AC94"/>
    <w:lvl w:ilvl="0" w:tplc="39AE4718">
      <w:start w:val="1"/>
      <w:numFmt w:val="lowerLetter"/>
      <w:lvlText w:val="%1)"/>
      <w:lvlJc w:val="left"/>
      <w:pPr>
        <w:ind w:left="421" w:hanging="312"/>
      </w:pPr>
      <w:rPr>
        <w:rFonts w:ascii="Calibri" w:eastAsia="Calibri" w:hAnsi="Calibri" w:cs="Calibri" w:hint="default"/>
        <w:spacing w:val="-1"/>
        <w:w w:val="93"/>
        <w:sz w:val="20"/>
        <w:szCs w:val="20"/>
      </w:rPr>
    </w:lvl>
    <w:lvl w:ilvl="1" w:tplc="BB100702">
      <w:numFmt w:val="bullet"/>
      <w:lvlText w:val="•"/>
      <w:lvlJc w:val="left"/>
      <w:pPr>
        <w:ind w:left="1590" w:hanging="312"/>
      </w:pPr>
      <w:rPr>
        <w:rFonts w:hint="default"/>
      </w:rPr>
    </w:lvl>
    <w:lvl w:ilvl="2" w:tplc="5790BB4C">
      <w:numFmt w:val="bullet"/>
      <w:lvlText w:val="•"/>
      <w:lvlJc w:val="left"/>
      <w:pPr>
        <w:ind w:left="2760" w:hanging="312"/>
      </w:pPr>
      <w:rPr>
        <w:rFonts w:hint="default"/>
      </w:rPr>
    </w:lvl>
    <w:lvl w:ilvl="3" w:tplc="C1403EB2">
      <w:numFmt w:val="bullet"/>
      <w:lvlText w:val="•"/>
      <w:lvlJc w:val="left"/>
      <w:pPr>
        <w:ind w:left="3930" w:hanging="312"/>
      </w:pPr>
      <w:rPr>
        <w:rFonts w:hint="default"/>
      </w:rPr>
    </w:lvl>
    <w:lvl w:ilvl="4" w:tplc="8A50BF9E">
      <w:numFmt w:val="bullet"/>
      <w:lvlText w:val="•"/>
      <w:lvlJc w:val="left"/>
      <w:pPr>
        <w:ind w:left="5100" w:hanging="312"/>
      </w:pPr>
      <w:rPr>
        <w:rFonts w:hint="default"/>
      </w:rPr>
    </w:lvl>
    <w:lvl w:ilvl="5" w:tplc="A9C8E78C">
      <w:numFmt w:val="bullet"/>
      <w:lvlText w:val="•"/>
      <w:lvlJc w:val="left"/>
      <w:pPr>
        <w:ind w:left="6271" w:hanging="312"/>
      </w:pPr>
      <w:rPr>
        <w:rFonts w:hint="default"/>
      </w:rPr>
    </w:lvl>
    <w:lvl w:ilvl="6" w:tplc="6AEECEDA">
      <w:numFmt w:val="bullet"/>
      <w:lvlText w:val="•"/>
      <w:lvlJc w:val="left"/>
      <w:pPr>
        <w:ind w:left="7441" w:hanging="312"/>
      </w:pPr>
      <w:rPr>
        <w:rFonts w:hint="default"/>
      </w:rPr>
    </w:lvl>
    <w:lvl w:ilvl="7" w:tplc="F5EC15F2">
      <w:numFmt w:val="bullet"/>
      <w:lvlText w:val="•"/>
      <w:lvlJc w:val="left"/>
      <w:pPr>
        <w:ind w:left="8611" w:hanging="312"/>
      </w:pPr>
      <w:rPr>
        <w:rFonts w:hint="default"/>
      </w:rPr>
    </w:lvl>
    <w:lvl w:ilvl="8" w:tplc="2E9449C6">
      <w:numFmt w:val="bullet"/>
      <w:lvlText w:val="•"/>
      <w:lvlJc w:val="left"/>
      <w:pPr>
        <w:ind w:left="9781" w:hanging="312"/>
      </w:pPr>
      <w:rPr>
        <w:rFonts w:hint="default"/>
      </w:rPr>
    </w:lvl>
  </w:abstractNum>
  <w:abstractNum w:abstractNumId="18">
    <w:nsid w:val="5FE115E9"/>
    <w:multiLevelType w:val="hybridMultilevel"/>
    <w:tmpl w:val="62723FBC"/>
    <w:lvl w:ilvl="0" w:tplc="9F3673E0">
      <w:start w:val="1"/>
      <w:numFmt w:val="bullet"/>
      <w:pStyle w:val="Akapitzlis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91567C"/>
    <w:multiLevelType w:val="hybridMultilevel"/>
    <w:tmpl w:val="19869286"/>
    <w:lvl w:ilvl="0" w:tplc="F888344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6F391F"/>
    <w:multiLevelType w:val="hybridMultilevel"/>
    <w:tmpl w:val="3ACCF1C2"/>
    <w:lvl w:ilvl="0" w:tplc="BEFC4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841F7"/>
    <w:multiLevelType w:val="hybridMultilevel"/>
    <w:tmpl w:val="B2A62DC6"/>
    <w:lvl w:ilvl="0" w:tplc="A1361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54647"/>
    <w:multiLevelType w:val="hybridMultilevel"/>
    <w:tmpl w:val="7CD0D9C0"/>
    <w:lvl w:ilvl="0" w:tplc="57107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0F5948"/>
    <w:multiLevelType w:val="hybridMultilevel"/>
    <w:tmpl w:val="D4323E28"/>
    <w:lvl w:ilvl="0" w:tplc="8F2031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36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C2716"/>
    <w:multiLevelType w:val="hybridMultilevel"/>
    <w:tmpl w:val="777C5412"/>
    <w:lvl w:ilvl="0" w:tplc="A12477A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D0D77"/>
    <w:multiLevelType w:val="hybridMultilevel"/>
    <w:tmpl w:val="6C2678E4"/>
    <w:lvl w:ilvl="0" w:tplc="9FAC259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7493B"/>
    <w:multiLevelType w:val="hybridMultilevel"/>
    <w:tmpl w:val="C722FBFC"/>
    <w:lvl w:ilvl="0" w:tplc="1C8A32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12"/>
  </w:num>
  <w:num w:numId="5">
    <w:abstractNumId w:val="21"/>
  </w:num>
  <w:num w:numId="6">
    <w:abstractNumId w:val="14"/>
  </w:num>
  <w:num w:numId="7">
    <w:abstractNumId w:val="24"/>
  </w:num>
  <w:num w:numId="8">
    <w:abstractNumId w:val="20"/>
  </w:num>
  <w:num w:numId="9">
    <w:abstractNumId w:val="8"/>
  </w:num>
  <w:num w:numId="10">
    <w:abstractNumId w:val="16"/>
  </w:num>
  <w:num w:numId="11">
    <w:abstractNumId w:val="19"/>
  </w:num>
  <w:num w:numId="12">
    <w:abstractNumId w:val="10"/>
  </w:num>
  <w:num w:numId="13">
    <w:abstractNumId w:val="25"/>
  </w:num>
  <w:num w:numId="14">
    <w:abstractNumId w:val="9"/>
  </w:num>
  <w:num w:numId="15">
    <w:abstractNumId w:val="0"/>
  </w:num>
  <w:num w:numId="16">
    <w:abstractNumId w:val="13"/>
  </w:num>
  <w:num w:numId="17">
    <w:abstractNumId w:val="23"/>
  </w:num>
  <w:num w:numId="18">
    <w:abstractNumId w:val="7"/>
  </w:num>
  <w:num w:numId="19">
    <w:abstractNumId w:val="3"/>
  </w:num>
  <w:num w:numId="20">
    <w:abstractNumId w:val="11"/>
  </w:num>
  <w:num w:numId="21">
    <w:abstractNumId w:val="18"/>
  </w:num>
  <w:num w:numId="22">
    <w:abstractNumId w:val="6"/>
  </w:num>
  <w:num w:numId="23">
    <w:abstractNumId w:val="5"/>
  </w:num>
  <w:num w:numId="24">
    <w:abstractNumId w:val="4"/>
  </w:num>
  <w:num w:numId="25">
    <w:abstractNumId w:val="26"/>
  </w:num>
  <w:num w:numId="26">
    <w:abstractNumId w:val="15"/>
  </w:num>
  <w:num w:numId="27">
    <w:abstractNumId w:val="1"/>
  </w:num>
  <w:num w:numId="2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abusińska Małgorzata">
    <w15:presenceInfo w15:providerId="None" w15:userId="Grabusińska Małgorzata"/>
  </w15:person>
  <w15:person w15:author="Sobieska Anna">
    <w15:presenceInfo w15:providerId="None" w15:userId="Sobieska 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B4"/>
    <w:rsid w:val="00055314"/>
    <w:rsid w:val="000728B3"/>
    <w:rsid w:val="00076A4F"/>
    <w:rsid w:val="000A3249"/>
    <w:rsid w:val="000F48C8"/>
    <w:rsid w:val="00120585"/>
    <w:rsid w:val="00130209"/>
    <w:rsid w:val="00180C59"/>
    <w:rsid w:val="001841A6"/>
    <w:rsid w:val="001F15C7"/>
    <w:rsid w:val="001F7BCC"/>
    <w:rsid w:val="0021210C"/>
    <w:rsid w:val="002A3304"/>
    <w:rsid w:val="003531AC"/>
    <w:rsid w:val="003D56B5"/>
    <w:rsid w:val="003E3CDE"/>
    <w:rsid w:val="00455AFF"/>
    <w:rsid w:val="00537A2E"/>
    <w:rsid w:val="005E10E3"/>
    <w:rsid w:val="0060116C"/>
    <w:rsid w:val="006375E9"/>
    <w:rsid w:val="00695375"/>
    <w:rsid w:val="006B3CB4"/>
    <w:rsid w:val="006B6482"/>
    <w:rsid w:val="007071BA"/>
    <w:rsid w:val="00743B8B"/>
    <w:rsid w:val="00754700"/>
    <w:rsid w:val="00756181"/>
    <w:rsid w:val="00757EFB"/>
    <w:rsid w:val="00762F26"/>
    <w:rsid w:val="008218C2"/>
    <w:rsid w:val="008356B8"/>
    <w:rsid w:val="0086083F"/>
    <w:rsid w:val="008E182D"/>
    <w:rsid w:val="009112DC"/>
    <w:rsid w:val="0092615C"/>
    <w:rsid w:val="00997C9F"/>
    <w:rsid w:val="009B63DC"/>
    <w:rsid w:val="009D2211"/>
    <w:rsid w:val="00A54586"/>
    <w:rsid w:val="00A83FC2"/>
    <w:rsid w:val="00AE042F"/>
    <w:rsid w:val="00AE4B4D"/>
    <w:rsid w:val="00B0068D"/>
    <w:rsid w:val="00B4106E"/>
    <w:rsid w:val="00B512C6"/>
    <w:rsid w:val="00B84154"/>
    <w:rsid w:val="00BE29BE"/>
    <w:rsid w:val="00C37228"/>
    <w:rsid w:val="00C557CC"/>
    <w:rsid w:val="00C6410D"/>
    <w:rsid w:val="00CE169E"/>
    <w:rsid w:val="00CF6FAC"/>
    <w:rsid w:val="00D34615"/>
    <w:rsid w:val="00D41B69"/>
    <w:rsid w:val="00D53C5B"/>
    <w:rsid w:val="00DB1A35"/>
    <w:rsid w:val="00DB4CE6"/>
    <w:rsid w:val="00DD0D10"/>
    <w:rsid w:val="00DE7E3B"/>
    <w:rsid w:val="00E17B04"/>
    <w:rsid w:val="00E304BD"/>
    <w:rsid w:val="00EA6CF5"/>
    <w:rsid w:val="00F179AE"/>
    <w:rsid w:val="00F440CC"/>
    <w:rsid w:val="00FC100F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CB4"/>
    <w:pPr>
      <w:spacing w:after="200" w:line="276" w:lineRule="auto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6B3CB4"/>
    <w:pPr>
      <w:spacing w:line="240" w:lineRule="auto"/>
    </w:pPr>
    <w:rPr>
      <w:rFonts w:ascii="Myriad Pro" w:hAnsi="Myriad Pro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CB4"/>
    <w:rPr>
      <w:rFonts w:ascii="Myriad Pro" w:hAnsi="Myriad Pro"/>
      <w:sz w:val="20"/>
      <w:szCs w:val="20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6B3CB4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6B3CB4"/>
    <w:pPr>
      <w:numPr>
        <w:numId w:val="1"/>
      </w:numPr>
      <w:contextualSpacing/>
    </w:pPr>
    <w:rPr>
      <w:szCs w:val="22"/>
    </w:rPr>
  </w:style>
  <w:style w:type="table" w:styleId="Tabela-Siatka">
    <w:name w:val="Table Grid"/>
    <w:basedOn w:val="Standardowy"/>
    <w:uiPriority w:val="59"/>
    <w:rsid w:val="006B3CB4"/>
    <w:pPr>
      <w:spacing w:after="0" w:line="240" w:lineRule="auto"/>
    </w:pPr>
    <w:rPr>
      <w:rFonts w:ascii="Myriad Pro" w:hAnsi="Myriad Pr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6B3CB4"/>
    <w:pPr>
      <w:widowControl w:val="0"/>
      <w:spacing w:after="0" w:line="240" w:lineRule="auto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10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10D"/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10D"/>
    <w:rPr>
      <w:rFonts w:ascii="Myriad Pro" w:hAnsi="Myriad Pro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10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1210C"/>
    <w:pPr>
      <w:spacing w:after="0"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CB4"/>
    <w:pPr>
      <w:spacing w:after="200" w:line="276" w:lineRule="auto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6B3CB4"/>
    <w:pPr>
      <w:spacing w:line="240" w:lineRule="auto"/>
    </w:pPr>
    <w:rPr>
      <w:rFonts w:ascii="Myriad Pro" w:hAnsi="Myriad Pro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CB4"/>
    <w:rPr>
      <w:rFonts w:ascii="Myriad Pro" w:hAnsi="Myriad Pro"/>
      <w:sz w:val="20"/>
      <w:szCs w:val="20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6B3CB4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6B3CB4"/>
    <w:pPr>
      <w:numPr>
        <w:numId w:val="1"/>
      </w:numPr>
      <w:contextualSpacing/>
    </w:pPr>
    <w:rPr>
      <w:szCs w:val="22"/>
    </w:rPr>
  </w:style>
  <w:style w:type="table" w:styleId="Tabela-Siatka">
    <w:name w:val="Table Grid"/>
    <w:basedOn w:val="Standardowy"/>
    <w:uiPriority w:val="59"/>
    <w:rsid w:val="006B3CB4"/>
    <w:pPr>
      <w:spacing w:after="0" w:line="240" w:lineRule="auto"/>
    </w:pPr>
    <w:rPr>
      <w:rFonts w:ascii="Myriad Pro" w:hAnsi="Myriad Pr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6B3CB4"/>
    <w:pPr>
      <w:widowControl w:val="0"/>
      <w:spacing w:after="0" w:line="240" w:lineRule="auto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10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10D"/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10D"/>
    <w:rPr>
      <w:rFonts w:ascii="Myriad Pro" w:hAnsi="Myriad Pro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10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1210C"/>
    <w:pPr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6E705-E7E4-4AD8-8A15-B536C1C8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1877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Surmacz</dc:creator>
  <cp:lastModifiedBy>DKorenicka</cp:lastModifiedBy>
  <cp:revision>2</cp:revision>
  <dcterms:created xsi:type="dcterms:W3CDTF">2020-10-12T05:34:00Z</dcterms:created>
  <dcterms:modified xsi:type="dcterms:W3CDTF">2020-10-12T05:34:00Z</dcterms:modified>
</cp:coreProperties>
</file>