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DC5740" w:rsidRPr="00E62282">
        <w:rPr>
          <w:rFonts w:ascii="Arial" w:hAnsi="Arial" w:cs="Arial"/>
          <w:b/>
          <w:color w:val="FFFFFF" w:themeColor="background1"/>
          <w:sz w:val="20"/>
          <w:szCs w:val="20"/>
          <w:lang w:eastAsia="pl-PL"/>
        </w:rPr>
        <w:t>4</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Budowa i przebu</w:t>
      </w:r>
      <w:r w:rsidR="00DC5740">
        <w:rPr>
          <w:rFonts w:ascii="Arial" w:hAnsi="Arial" w:cs="Arial"/>
          <w:b/>
          <w:color w:val="FFFFFF" w:themeColor="background1"/>
          <w:sz w:val="20"/>
          <w:szCs w:val="20"/>
          <w:lang w:eastAsia="pl-PL"/>
        </w:rPr>
        <w:t>dowa dróg powiatowych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DC5740" w:rsidRPr="00E62282">
        <w:rPr>
          <w:rFonts w:ascii="Arial" w:hAnsi="Arial" w:cs="Arial"/>
          <w:b/>
          <w:color w:val="FFFFFF" w:themeColor="background1"/>
          <w:sz w:val="20"/>
          <w:szCs w:val="20"/>
        </w:rPr>
        <w:t>4</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Wersja 2.0</w:t>
      </w: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tbl>
            <w:tblPr>
              <w:tblW w:w="0" w:type="auto"/>
              <w:tblInd w:w="108" w:type="dxa"/>
              <w:tblLook w:val="04A0" w:firstRow="1" w:lastRow="0" w:firstColumn="1" w:lastColumn="0" w:noHBand="0" w:noVBand="1"/>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bookmarkStart w:id="0" w:name="_Toc456780632"/>
                  <w:r w:rsidRPr="001C5DDB">
                    <w:rPr>
                      <w:rFonts w:cs="Arial"/>
                      <w:color w:val="000000"/>
                      <w:sz w:val="16"/>
                      <w:szCs w:val="16"/>
                    </w:rPr>
                    <w:lastRenderedPageBreak/>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19.09.2016 r.</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678063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002FFA">
          <w:pPr>
            <w:pStyle w:val="Spistreci1"/>
            <w:rPr>
              <w:rFonts w:ascii="Arial" w:eastAsiaTheme="minorEastAsia" w:hAnsi="Arial" w:cs="Arial"/>
              <w:sz w:val="16"/>
              <w:szCs w:val="16"/>
            </w:rPr>
          </w:pPr>
          <w:r w:rsidRPr="009678D1">
            <w:rPr>
              <w:rFonts w:ascii="Arial" w:hAnsi="Arial" w:cs="Arial"/>
              <w:sz w:val="18"/>
              <w:szCs w:val="18"/>
            </w:rPr>
            <w:lastRenderedPageBreak/>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EB15C1">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2</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5</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5</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7</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7</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10</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12</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14</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18</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19</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20</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26</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34</w:t>
            </w:r>
            <w:r w:rsidR="00002FFA" w:rsidRPr="00037A52">
              <w:rPr>
                <w:rFonts w:ascii="Arial" w:hAnsi="Arial" w:cs="Arial"/>
                <w:webHidden/>
                <w:sz w:val="16"/>
                <w:szCs w:val="16"/>
              </w:rPr>
              <w:fldChar w:fldCharType="end"/>
            </w:r>
          </w:hyperlink>
        </w:p>
        <w:p w:rsidR="00037A52" w:rsidRPr="00037A52" w:rsidRDefault="00F93C7C">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002FFA"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002FFA" w:rsidRPr="00037A52">
              <w:rPr>
                <w:rFonts w:ascii="Arial" w:hAnsi="Arial" w:cs="Arial"/>
                <w:webHidden/>
                <w:sz w:val="16"/>
                <w:szCs w:val="16"/>
              </w:rPr>
            </w:r>
            <w:r w:rsidR="00002FFA" w:rsidRPr="00037A52">
              <w:rPr>
                <w:rFonts w:ascii="Arial" w:hAnsi="Arial" w:cs="Arial"/>
                <w:webHidden/>
                <w:sz w:val="16"/>
                <w:szCs w:val="16"/>
              </w:rPr>
              <w:fldChar w:fldCharType="separate"/>
            </w:r>
            <w:r w:rsidR="00EB15C1">
              <w:rPr>
                <w:rFonts w:ascii="Arial" w:hAnsi="Arial" w:cs="Arial"/>
                <w:webHidden/>
                <w:sz w:val="16"/>
                <w:szCs w:val="16"/>
              </w:rPr>
              <w:t>37</w:t>
            </w:r>
            <w:r w:rsidR="00002FFA" w:rsidRPr="00037A52">
              <w:rPr>
                <w:rFonts w:ascii="Arial" w:hAnsi="Arial" w:cs="Arial"/>
                <w:webHidden/>
                <w:sz w:val="16"/>
                <w:szCs w:val="16"/>
              </w:rPr>
              <w:fldChar w:fldCharType="end"/>
            </w:r>
          </w:hyperlink>
        </w:p>
        <w:p w:rsidR="001A295B" w:rsidRDefault="00002FFA"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E93B60" w:rsidRPr="001A295B" w:rsidRDefault="00F93C7C"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56780634"/>
            <w:r w:rsidRPr="002360E6">
              <w:rPr>
                <w:rFonts w:cs="Arial"/>
                <w:color w:val="000000"/>
                <w:sz w:val="16"/>
                <w:szCs w:val="16"/>
              </w:rPr>
              <w:lastRenderedPageBreak/>
              <w:t>Wykaz skrótów</w:t>
            </w:r>
            <w:bookmarkEnd w:id="2"/>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56780635"/>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726E9C">
        <w:rPr>
          <w:rFonts w:ascii="Arial" w:hAnsi="Arial" w:cs="Arial"/>
          <w:sz w:val="16"/>
          <w:szCs w:val="16"/>
        </w:rPr>
        <w:t xml:space="preserve"> </w:t>
      </w:r>
      <w:r w:rsidR="003570AE" w:rsidRPr="00E435A0">
        <w:rPr>
          <w:rFonts w:ascii="Arial" w:hAnsi="Arial" w:cs="Arial"/>
          <w:sz w:val="16"/>
          <w:szCs w:val="16"/>
        </w:rPr>
        <w:t>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EB634D" w:rsidRDefault="009C5EC1" w:rsidP="00EB634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sidR="00EB634D">
        <w:rPr>
          <w:rFonts w:ascii="Arial" w:eastAsia="Times New Roman" w:hAnsi="Arial" w:cs="Arial"/>
          <w:sz w:val="16"/>
          <w:szCs w:val="16"/>
          <w:lang w:eastAsia="pl-PL"/>
        </w:rPr>
        <w:t>t. 2 pkt 28 ustawy wdrożeniowej</w:t>
      </w:r>
      <w:r w:rsidRPr="00EB634D">
        <w:rPr>
          <w:rFonts w:ascii="Arial" w:eastAsia="Times New Roman" w:hAnsi="Arial" w:cs="Arial"/>
          <w:sz w:val="16"/>
          <w:szCs w:val="16"/>
          <w:lang w:eastAsia="pl-PL"/>
        </w:rPr>
        <w:t>;</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lastRenderedPageBreak/>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7" w:name="_Toc447785001"/>
            <w:bookmarkStart w:id="8" w:name="_Toc456780637"/>
            <w:r w:rsidRPr="00AD0CD7">
              <w:rPr>
                <w:rFonts w:ascii="Arial" w:hAnsi="Arial"/>
                <w:b/>
                <w:sz w:val="16"/>
              </w:rPr>
              <w:t>A. Informacje o projekcie</w:t>
            </w:r>
            <w:bookmarkEnd w:id="7"/>
            <w:bookmarkEnd w:id="8"/>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 xml:space="preserve">Początkiem okresu kwalifikowalności wydatków jest data </w:t>
            </w:r>
            <w:r w:rsidRPr="00934743">
              <w:rPr>
                <w:rFonts w:ascii="Arial" w:hAnsi="Arial" w:cs="Arial"/>
                <w:i/>
                <w:sz w:val="16"/>
                <w:szCs w:val="16"/>
              </w:rPr>
              <w:lastRenderedPageBreak/>
              <w:t>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C5435F" w:rsidRPr="00D2225E" w:rsidRDefault="00C5435F" w:rsidP="00C5435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w:t>
            </w:r>
            <w:r w:rsidRPr="00332352">
              <w:rPr>
                <w:rFonts w:ascii="Arial" w:hAnsi="Arial" w:cs="Arial"/>
                <w:i/>
                <w:sz w:val="16"/>
                <w:szCs w:val="16"/>
              </w:rPr>
              <w:t>0</w:t>
            </w:r>
            <w:r w:rsidR="00593260" w:rsidRPr="00332352">
              <w:rPr>
                <w:rFonts w:ascii="Arial" w:hAnsi="Arial" w:cs="Arial"/>
                <w:i/>
                <w:sz w:val="16"/>
                <w:szCs w:val="16"/>
              </w:rPr>
              <w:t>4</w:t>
            </w:r>
            <w:r w:rsidRPr="00332352">
              <w:rPr>
                <w:rFonts w:ascii="Arial" w:hAnsi="Arial" w:cs="Arial"/>
                <w:i/>
                <w:sz w:val="16"/>
                <w:szCs w:val="16"/>
              </w:rPr>
              <w:t>.00</w:t>
            </w:r>
            <w:r w:rsidRPr="00D2225E">
              <w:rPr>
                <w:rFonts w:ascii="Arial" w:hAnsi="Arial" w:cs="Arial"/>
                <w:i/>
                <w:sz w:val="16"/>
                <w:szCs w:val="16"/>
              </w:rPr>
              <w:t>-IZ.00-32-001/16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lastRenderedPageBreak/>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3B42BC">
              <w:rPr>
                <w:rFonts w:ascii="Arial" w:hAnsi="Arial"/>
                <w:i/>
                <w:iCs/>
                <w:sz w:val="16"/>
              </w:rPr>
              <w:t>RPZP.05.</w:t>
            </w:r>
            <w:r w:rsidR="003B42BC" w:rsidRPr="00713F4B">
              <w:rPr>
                <w:rFonts w:ascii="Arial" w:hAnsi="Arial"/>
                <w:i/>
                <w:iCs/>
                <w:sz w:val="16"/>
              </w:rPr>
              <w:t>04</w:t>
            </w:r>
            <w:r w:rsidRPr="005A41E8">
              <w:rPr>
                <w:rFonts w:ascii="Arial" w:hAnsi="Arial"/>
                <w:i/>
                <w:iCs/>
                <w:sz w:val="16"/>
              </w:rPr>
              <w:t>.00-IZ.00-32-00</w:t>
            </w:r>
            <w:r w:rsidR="003B42BC">
              <w:rPr>
                <w:rFonts w:ascii="Arial" w:hAnsi="Arial"/>
                <w:i/>
                <w:iCs/>
                <w:sz w:val="16"/>
              </w:rPr>
              <w:t>1/16</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3B42BC">
              <w:rPr>
                <w:rFonts w:ascii="Arial" w:hAnsi="Arial"/>
                <w:i/>
                <w:iCs/>
                <w:sz w:val="16"/>
              </w:rPr>
              <w:t>naboru nr RPZP.05.0</w:t>
            </w:r>
            <w:r w:rsidR="003B42BC" w:rsidRPr="00332352">
              <w:rPr>
                <w:rFonts w:ascii="Arial" w:hAnsi="Arial"/>
                <w:i/>
                <w:iCs/>
                <w:sz w:val="16"/>
              </w:rPr>
              <w:t>4</w:t>
            </w:r>
            <w:r w:rsidRPr="005A41E8">
              <w:rPr>
                <w:rFonts w:ascii="Arial" w:hAnsi="Arial"/>
                <w:i/>
                <w:iCs/>
                <w:sz w:val="16"/>
              </w:rPr>
              <w:t>.00-IZ.00-32-00</w:t>
            </w:r>
            <w:r w:rsidR="003B42BC">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 xml:space="preserve">nsowaniu w ramach </w:t>
            </w:r>
            <w:r w:rsidR="00155E04" w:rsidRPr="00ED570A">
              <w:rPr>
                <w:rFonts w:ascii="Arial" w:hAnsi="Arial" w:cs="Arial"/>
                <w:i/>
                <w:sz w:val="16"/>
                <w:szCs w:val="16"/>
              </w:rPr>
              <w:t>Działania 5.</w:t>
            </w:r>
            <w:r w:rsidR="003B42BC" w:rsidRPr="00ED570A">
              <w:rPr>
                <w:rFonts w:ascii="Arial" w:hAnsi="Arial" w:cs="Arial"/>
                <w:i/>
                <w:sz w:val="16"/>
                <w:szCs w:val="16"/>
              </w:rPr>
              <w:t>4</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9" w:name="_Toc447785002"/>
            <w:bookmarkStart w:id="10" w:name="_Toc456780638"/>
            <w:r w:rsidRPr="00FD196C">
              <w:rPr>
                <w:rFonts w:ascii="Arial" w:hAnsi="Arial"/>
                <w:b/>
                <w:sz w:val="16"/>
              </w:rPr>
              <w:t>B. Informacje o wnioskodawcy</w:t>
            </w:r>
            <w:bookmarkEnd w:id="9"/>
            <w:bookmarkEnd w:id="10"/>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t>
            </w:r>
            <w:r w:rsidR="00224A33" w:rsidRPr="003F0EBB">
              <w:rPr>
                <w:rFonts w:ascii="Arial" w:hAnsi="Arial" w:cs="Arial"/>
                <w:i/>
                <w:color w:val="000000"/>
                <w:sz w:val="16"/>
                <w:szCs w:val="16"/>
              </w:rPr>
              <w:lastRenderedPageBreak/>
              <w:t xml:space="preserve">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lastRenderedPageBreak/>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726E9C" w:rsidRPr="00FC689E" w:rsidRDefault="00726E9C" w:rsidP="00726E9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FC689E">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1" w:name="_Toc447785003"/>
            <w:bookmarkStart w:id="12"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1"/>
            <w:bookmarkEnd w:id="12"/>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lastRenderedPageBreak/>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11B9" w:rsidRPr="00E41F82" w:rsidTr="00AB1C61">
        <w:trPr>
          <w:trHeight w:val="52"/>
        </w:trPr>
        <w:tc>
          <w:tcPr>
            <w:tcW w:w="5000" w:type="pct"/>
            <w:shd w:val="pct10" w:color="auto" w:fill="auto"/>
          </w:tcPr>
          <w:p w:rsidR="00E911B9" w:rsidRPr="00E41F82" w:rsidRDefault="00E911B9" w:rsidP="00AB1C61">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 Realizator projektu</w:t>
            </w:r>
          </w:p>
        </w:tc>
      </w:tr>
    </w:tbl>
    <w:p w:rsidR="00E911B9" w:rsidRDefault="00E911B9"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C33467"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C33467" w:rsidP="00C33467">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3" w:name="_Toc447785004"/>
            <w:bookmarkStart w:id="14" w:name="_Toc456780640"/>
            <w:r w:rsidRPr="00FD196C">
              <w:rPr>
                <w:rFonts w:ascii="Arial" w:hAnsi="Arial"/>
                <w:b/>
                <w:sz w:val="16"/>
              </w:rPr>
              <w:t>D. Charakterystyka projektu</w:t>
            </w:r>
            <w:bookmarkEnd w:id="13"/>
            <w:bookmarkEnd w:id="14"/>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145AE">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5" w:name="_Toc441825733"/>
            <w:bookmarkStart w:id="16"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5"/>
            <w:bookmarkEnd w:id="16"/>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sidRPr="00E62282">
              <w:rPr>
                <w:rFonts w:ascii="Arial" w:hAnsi="Arial" w:cs="Arial"/>
                <w:bCs/>
                <w:i/>
                <w:sz w:val="16"/>
                <w:szCs w:val="16"/>
              </w:rPr>
              <w:t>5</w:t>
            </w:r>
            <w:r w:rsidRPr="00E62282">
              <w:rPr>
                <w:rFonts w:ascii="Arial" w:hAnsi="Arial" w:cs="Arial"/>
                <w:bCs/>
                <w:i/>
                <w:sz w:val="16"/>
                <w:szCs w:val="16"/>
              </w:rPr>
              <w:t>.</w:t>
            </w:r>
            <w:r w:rsidR="004145AE" w:rsidRPr="00E62282">
              <w:rPr>
                <w:rFonts w:ascii="Arial" w:hAnsi="Arial" w:cs="Arial"/>
                <w:bCs/>
                <w:i/>
                <w:sz w:val="16"/>
                <w:szCs w:val="16"/>
              </w:rPr>
              <w:t>4</w:t>
            </w:r>
            <w:r w:rsidRPr="00E62282">
              <w:rPr>
                <w:rFonts w:ascii="Arial" w:hAnsi="Arial" w:cs="Arial"/>
                <w:bCs/>
                <w:i/>
                <w:sz w:val="16"/>
                <w:szCs w:val="16"/>
              </w:rPr>
              <w:t xml:space="preserve"> </w:t>
            </w:r>
            <w:r w:rsidR="00727DDD" w:rsidRPr="00E62282">
              <w:rPr>
                <w:rFonts w:ascii="Arial" w:hAnsi="Arial"/>
                <w:i/>
                <w:sz w:val="16"/>
                <w:szCs w:val="16"/>
              </w:rPr>
              <w:t xml:space="preserve">Budowa i przebudowa dróg </w:t>
            </w:r>
            <w:r w:rsidR="004145AE" w:rsidRPr="00E62282">
              <w:rPr>
                <w:rFonts w:ascii="Arial" w:hAnsi="Arial" w:cs="Arial"/>
                <w:i/>
                <w:sz w:val="16"/>
                <w:szCs w:val="16"/>
              </w:rPr>
              <w:t>powiatowych</w:t>
            </w:r>
            <w:r w:rsidR="00576F5A" w:rsidRPr="00E62282">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4145AE" w:rsidRPr="00C8198C">
              <w:rPr>
                <w:rFonts w:ascii="Arial" w:hAnsi="Arial" w:cs="Arial"/>
                <w:i/>
                <w:sz w:val="16"/>
                <w:szCs w:val="16"/>
              </w:rPr>
              <w:t>4</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8A39F8">
              <w:rPr>
                <w:rFonts w:ascii="Arial" w:hAnsi="Arial" w:cs="Arial"/>
                <w:i/>
                <w:sz w:val="16"/>
                <w:szCs w:val="16"/>
              </w:rPr>
              <w:t>ch;</w:t>
            </w:r>
          </w:p>
          <w:p w:rsidR="008A39F8" w:rsidRPr="008A39F8" w:rsidRDefault="008A39F8" w:rsidP="00713F4B">
            <w:pPr>
              <w:pStyle w:val="Bezodstpw"/>
              <w:numPr>
                <w:ilvl w:val="0"/>
                <w:numId w:val="59"/>
              </w:numPr>
              <w:ind w:left="284" w:hanging="284"/>
              <w:jc w:val="both"/>
              <w:rPr>
                <w:rFonts w:ascii="Arial" w:hAnsi="Arial" w:cs="Arial"/>
                <w:i/>
                <w:sz w:val="16"/>
                <w:szCs w:val="16"/>
              </w:rPr>
            </w:pPr>
            <w:r>
              <w:rPr>
                <w:rFonts w:ascii="Arial" w:hAnsi="Arial" w:cs="Arial"/>
                <w:i/>
                <w:sz w:val="16"/>
                <w:szCs w:val="16"/>
              </w:rPr>
              <w:t xml:space="preserve">opisać, w jaki sposób projekt spełnia kryterium zasadności realizacji w odniesieniu do zapisów Planu Inwestycji Transportowych Województwa Zachodniopomorskiego lub </w:t>
            </w:r>
            <w:r w:rsidRPr="00A70A2A">
              <w:rPr>
                <w:rFonts w:ascii="Arial" w:hAnsi="Arial" w:cs="Arial"/>
                <w:i/>
                <w:sz w:val="16"/>
                <w:szCs w:val="16"/>
              </w:rPr>
              <w:t>obowiązując</w:t>
            </w:r>
            <w:r w:rsidR="00713F4B">
              <w:rPr>
                <w:rFonts w:ascii="Arial" w:hAnsi="Arial" w:cs="Arial"/>
                <w:i/>
                <w:sz w:val="16"/>
                <w:szCs w:val="16"/>
              </w:rPr>
              <w:t>ej</w:t>
            </w:r>
            <w:r w:rsidRPr="00A70A2A">
              <w:rPr>
                <w:rFonts w:ascii="Arial" w:hAnsi="Arial" w:cs="Arial"/>
                <w:i/>
                <w:sz w:val="16"/>
                <w:szCs w:val="16"/>
              </w:rPr>
              <w:t xml:space="preserve"> na dzień złożenia pisemnego wniosku o przyznanie pomocy </w:t>
            </w:r>
            <w:r w:rsidR="00713F4B">
              <w:rPr>
                <w:rFonts w:ascii="Arial" w:hAnsi="Arial" w:cs="Arial"/>
                <w:i/>
                <w:sz w:val="16"/>
                <w:szCs w:val="16"/>
              </w:rPr>
              <w:t>listy zadań na drogach powiatowych zatwierdzonej przez Zarząd Województwa Zachodniopomorskiego.</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7" w:name="_GoBack"/>
            <w:bookmarkEnd w:id="17"/>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lastRenderedPageBreak/>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18280F" w:rsidRPr="0018280F" w:rsidRDefault="00E9554F" w:rsidP="0018280F">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lastRenderedPageBreak/>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275FAB" w:rsidRPr="00ED570A">
              <w:rPr>
                <w:rFonts w:ascii="Arial" w:hAnsi="Arial" w:cs="Arial"/>
                <w:i/>
                <w:sz w:val="16"/>
                <w:szCs w:val="16"/>
              </w:rPr>
              <w:t>5.4</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5678064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iej</w:t>
            </w:r>
            <w:r w:rsidR="00F40CC1">
              <w:rPr>
                <w:rFonts w:ascii="Arial" w:hAnsi="Arial" w:cs="Arial"/>
                <w:i/>
                <w:color w:val="000000"/>
                <w:sz w:val="16"/>
                <w:szCs w:val="16"/>
                <w:lang w:eastAsia="pl-PL"/>
              </w:rPr>
              <w:t xml:space="preserve"> jeden z wymienionych w pkt a) i </w:t>
            </w:r>
            <w:r w:rsidR="00BD33AD">
              <w:rPr>
                <w:rFonts w:ascii="Arial" w:hAnsi="Arial" w:cs="Arial"/>
                <w:i/>
                <w:color w:val="000000"/>
                <w:sz w:val="16"/>
                <w:szCs w:val="16"/>
                <w:lang w:eastAsia="pl-PL"/>
              </w:rPr>
              <w:t>b)</w:t>
            </w:r>
            <w:r w:rsidRPr="00470108">
              <w:rPr>
                <w:rFonts w:ascii="Arial" w:hAnsi="Arial" w:cs="Arial"/>
                <w:i/>
                <w:color w:val="000000"/>
                <w:sz w:val="16"/>
                <w:szCs w:val="16"/>
                <w:lang w:eastAsia="pl-PL"/>
              </w:rPr>
              <w:t>. Pozostałe wskaźniki należy wybrać w sytuacji, gdy są adekwatne dla projektu.</w:t>
            </w:r>
          </w:p>
          <w:p w:rsidR="00470108" w:rsidRPr="00470108" w:rsidRDefault="00470108" w:rsidP="00F40CC1">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F40CC1">
              <w:rPr>
                <w:rFonts w:ascii="Arial" w:hAnsi="Arial" w:cs="Arial"/>
                <w:i/>
                <w:sz w:val="16"/>
                <w:szCs w:val="16"/>
                <w:lang w:eastAsia="pl-PL"/>
              </w:rPr>
              <w:t>d</w:t>
            </w:r>
            <w:r w:rsidR="00BD33AD">
              <w:rPr>
                <w:rFonts w:ascii="Arial" w:hAnsi="Arial" w:cs="Arial"/>
                <w:i/>
                <w:sz w:val="16"/>
                <w:szCs w:val="16"/>
                <w:lang w:eastAsia="pl-PL"/>
              </w:rPr>
              <w:t xml:space="preserve">) i </w:t>
            </w:r>
            <w:r w:rsidR="00F40CC1">
              <w:rPr>
                <w:rFonts w:ascii="Arial" w:hAnsi="Arial" w:cs="Arial"/>
                <w:i/>
                <w:sz w:val="16"/>
                <w:szCs w:val="16"/>
                <w:lang w:eastAsia="pl-PL"/>
              </w:rPr>
              <w:t>e</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lastRenderedPageBreak/>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lastRenderedPageBreak/>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1725DD" w:rsidRPr="00ED570A">
              <w:rPr>
                <w:rFonts w:ascii="Arial" w:hAnsi="Arial" w:cs="Arial"/>
                <w:i/>
                <w:sz w:val="16"/>
                <w:szCs w:val="16"/>
              </w:rPr>
              <w:t>4</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5678064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lastRenderedPageBreak/>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5678064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w:t>
            </w:r>
            <w:r w:rsidR="00FB6A42" w:rsidRPr="0045053B">
              <w:rPr>
                <w:rFonts w:ascii="Arial" w:hAnsi="Arial" w:cs="Arial"/>
                <w:i/>
                <w:sz w:val="16"/>
                <w:szCs w:val="16"/>
              </w:rPr>
              <w:lastRenderedPageBreak/>
              <w:t>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lastRenderedPageBreak/>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 xml:space="preserve">ziałania </w:t>
            </w:r>
            <w:r w:rsidR="00630F2E" w:rsidRPr="00AD5137">
              <w:rPr>
                <w:rFonts w:ascii="Arial" w:hAnsi="Arial" w:cs="Arial"/>
                <w:i/>
                <w:sz w:val="16"/>
                <w:szCs w:val="16"/>
              </w:rPr>
              <w:t>5.</w:t>
            </w:r>
            <w:r w:rsidR="00275FAB" w:rsidRPr="00AD5137">
              <w:rPr>
                <w:rFonts w:ascii="Arial" w:hAnsi="Arial" w:cs="Arial"/>
                <w:i/>
                <w:sz w:val="16"/>
                <w:szCs w:val="16"/>
              </w:rPr>
              <w:t>4</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sidRPr="00E62282">
              <w:rPr>
                <w:rFonts w:ascii="Arial" w:hAnsi="Arial" w:cs="Arial"/>
                <w:i/>
                <w:iCs/>
                <w:sz w:val="16"/>
                <w:szCs w:val="16"/>
              </w:rPr>
              <w:t>5</w:t>
            </w:r>
            <w:r w:rsidR="00790C3E" w:rsidRPr="00E62282">
              <w:rPr>
                <w:rFonts w:ascii="Arial" w:hAnsi="Arial" w:cs="Arial"/>
                <w:i/>
                <w:iCs/>
                <w:sz w:val="16"/>
                <w:szCs w:val="16"/>
              </w:rPr>
              <w:t>.</w:t>
            </w:r>
            <w:r w:rsidR="00275FAB" w:rsidRPr="00E62282">
              <w:rPr>
                <w:rFonts w:ascii="Arial" w:hAnsi="Arial" w:cs="Arial"/>
                <w:i/>
                <w:iCs/>
                <w:sz w:val="16"/>
                <w:szCs w:val="16"/>
              </w:rPr>
              <w:t>4</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AD5137" w:rsidRPr="00E32A35" w:rsidRDefault="00AD5137" w:rsidP="0035691D">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Nieruchomości zabudowane</w:t>
            </w:r>
          </w:p>
          <w:p w:rsidR="00AD5137" w:rsidRPr="00AD5137" w:rsidRDefault="002605AC" w:rsidP="00AD5137">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FD196C" w:rsidRDefault="00AD5137"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Promocja projektu</w:t>
            </w:r>
            <w:r w:rsidR="007B17D8">
              <w:rPr>
                <w:rFonts w:ascii="Arial" w:hAnsi="Arial" w:cs="Arial"/>
                <w:i/>
                <w:sz w:val="16"/>
                <w:szCs w:val="16"/>
              </w:rPr>
              <w:t>;</w:t>
            </w:r>
          </w:p>
          <w:p w:rsidR="007B17D8" w:rsidRPr="00AD5137" w:rsidRDefault="007B17D8"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Nabycie środków trwałych.</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A80AA2" w:rsidRPr="00AD5137">
              <w:rPr>
                <w:rFonts w:ascii="Arial" w:hAnsi="Arial" w:cs="Arial"/>
                <w:i/>
                <w:color w:val="auto"/>
                <w:sz w:val="16"/>
                <w:szCs w:val="16"/>
              </w:rPr>
              <w:t>4</w:t>
            </w:r>
            <w:r w:rsidRPr="001725DD">
              <w:rPr>
                <w:rFonts w:ascii="Arial" w:hAnsi="Arial" w:cs="Arial"/>
                <w:i/>
                <w:color w:val="FF0000"/>
                <w:sz w:val="16"/>
                <w:szCs w:val="16"/>
              </w:rPr>
              <w:t>.</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 xml:space="preserve">VAT w ramach </w:t>
            </w:r>
            <w:r w:rsidR="00E862D7" w:rsidRPr="0045053B">
              <w:rPr>
                <w:rFonts w:ascii="Arial" w:hAnsi="Arial" w:cs="Arial"/>
                <w:i/>
                <w:sz w:val="16"/>
                <w:szCs w:val="16"/>
              </w:rPr>
              <w:lastRenderedPageBreak/>
              <w:t>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lastRenderedPageBreak/>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35381" w:rsidRPr="00935381" w:rsidRDefault="00C977E3" w:rsidP="00935381">
            <w:pPr>
              <w:jc w:val="both"/>
              <w:rPr>
                <w:rFonts w:ascii="Arial" w:hAnsi="Arial" w:cs="Arial"/>
                <w:sz w:val="16"/>
                <w:szCs w:val="16"/>
              </w:rPr>
            </w:pPr>
            <w:r>
              <w:rPr>
                <w:rFonts w:ascii="Arial" w:hAnsi="Arial" w:cs="Arial"/>
                <w:sz w:val="16"/>
                <w:szCs w:val="16"/>
              </w:rPr>
              <w:t>W ramach naboru RPZP.05.04</w:t>
            </w:r>
            <w:r w:rsidR="00935381" w:rsidRPr="00935381">
              <w:rPr>
                <w:rFonts w:ascii="Arial" w:hAnsi="Arial" w:cs="Arial"/>
                <w:sz w:val="16"/>
                <w:szCs w:val="16"/>
              </w:rPr>
              <w:t xml:space="preserve">.00-IZ.00-32-001/16 istnieje możliwość uwzględnienia kosztów pośrednich. Należy zaznaczyć pole „Dodaj zadanie z kosztami pośrednimi” (jeśli dotyczy). </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to wydatki kwalifikowalne niezbędne do realizacji projektu, ale niedotyczące bezpośrednio głównego </w:t>
            </w:r>
            <w:r w:rsidRPr="00935381">
              <w:rPr>
                <w:rFonts w:ascii="Arial" w:hAnsi="Arial" w:cs="Arial"/>
                <w:b/>
                <w:sz w:val="16"/>
                <w:szCs w:val="16"/>
              </w:rPr>
              <w:t>przedmiotu</w:t>
            </w:r>
            <w:r w:rsidRPr="00935381">
              <w:rPr>
                <w:rFonts w:ascii="Arial" w:hAnsi="Arial" w:cs="Arial"/>
                <w:sz w:val="16"/>
                <w:szCs w:val="16"/>
              </w:rPr>
              <w:t xml:space="preserve"> projektu. Zakres wydatków możliwych do uwzględnienia w ramach kosztó</w:t>
            </w:r>
            <w:r>
              <w:rPr>
                <w:rFonts w:ascii="Arial" w:hAnsi="Arial" w:cs="Arial"/>
                <w:sz w:val="16"/>
                <w:szCs w:val="16"/>
              </w:rPr>
              <w:t>w pośrednich został określony w </w:t>
            </w:r>
            <w:r w:rsidRPr="00935381">
              <w:rPr>
                <w:rFonts w:ascii="Arial" w:hAnsi="Arial" w:cs="Arial"/>
                <w:sz w:val="16"/>
                <w:szCs w:val="16"/>
              </w:rPr>
              <w:t>Regulaminie naboru.</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podlegają rozliczeniu </w:t>
            </w:r>
            <w:r w:rsidRPr="00935381">
              <w:rPr>
                <w:rFonts w:ascii="Arial" w:hAnsi="Arial" w:cs="Arial"/>
                <w:sz w:val="16"/>
                <w:szCs w:val="16"/>
                <w:u w:val="single"/>
              </w:rPr>
              <w:t>stawką ryczałtową</w:t>
            </w:r>
            <w:r w:rsidRPr="00935381">
              <w:rPr>
                <w:rFonts w:ascii="Arial" w:hAnsi="Arial" w:cs="Arial"/>
                <w:sz w:val="16"/>
                <w:szCs w:val="16"/>
              </w:rPr>
              <w:t xml:space="preserve"> w wysokości stanowiącej łącznie nie więcej niż 2% kwalifikowalnych kosztów bezpośrednich.</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Wszystkie koszty pośrednie zaplanowane w projekcie należy ująć jako jedną pozycję w budżecie projektu.</w:t>
            </w:r>
          </w:p>
          <w:p w:rsidR="00935381" w:rsidRPr="00935381" w:rsidRDefault="00935381" w:rsidP="00935381">
            <w:pPr>
              <w:jc w:val="both"/>
              <w:rPr>
                <w:rFonts w:ascii="Arial" w:hAnsi="Arial" w:cs="Arial"/>
                <w:b/>
                <w:sz w:val="16"/>
                <w:szCs w:val="16"/>
              </w:rPr>
            </w:pPr>
            <w:r w:rsidRPr="00935381">
              <w:rPr>
                <w:rFonts w:ascii="Arial" w:hAnsi="Arial" w:cs="Arial"/>
                <w:b/>
                <w:sz w:val="16"/>
                <w:szCs w:val="16"/>
              </w:rPr>
              <w:t>Sekcja G.3 wypełniana jest częściowo automatycznie.</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UWAGA: W przypadku projektów generujących dochód kwotę wydatków pośrednich nale</w:t>
            </w:r>
            <w:r w:rsidR="00C748F8">
              <w:rPr>
                <w:rFonts w:ascii="Arial" w:hAnsi="Arial" w:cs="Arial"/>
                <w:sz w:val="16"/>
                <w:szCs w:val="16"/>
                <w:u w:val="single"/>
              </w:rPr>
              <w:t>ży skorygować o wskaźnik luki w</w:t>
            </w:r>
            <w:r w:rsidR="00F73B40">
              <w:rPr>
                <w:rFonts w:ascii="Arial" w:hAnsi="Arial" w:cs="Arial"/>
                <w:sz w:val="16"/>
                <w:szCs w:val="16"/>
                <w:u w:val="single"/>
              </w:rPr>
              <w:t> </w:t>
            </w:r>
            <w:r w:rsidRPr="00935381">
              <w:rPr>
                <w:rFonts w:ascii="Arial" w:hAnsi="Arial" w:cs="Arial"/>
                <w:sz w:val="16"/>
                <w:szCs w:val="16"/>
                <w:u w:val="single"/>
              </w:rPr>
              <w:t>finansowaniu/zryczałtowanej procentowej stawki dochodu.</w:t>
            </w:r>
          </w:p>
          <w:p w:rsidR="007B5BA4" w:rsidRPr="00935381" w:rsidRDefault="00935381" w:rsidP="00935381">
            <w:pPr>
              <w:spacing w:after="0" w:line="240" w:lineRule="auto"/>
              <w:jc w:val="both"/>
              <w:rPr>
                <w:rFonts w:ascii="Arial" w:hAnsi="Arial"/>
                <w:i/>
                <w:sz w:val="16"/>
                <w:szCs w:val="16"/>
                <w:u w:val="single"/>
              </w:rPr>
            </w:pPr>
            <w:r w:rsidRPr="00935381">
              <w:rPr>
                <w:rFonts w:ascii="Arial" w:hAnsi="Arial" w:cs="Arial"/>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lastRenderedPageBreak/>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 xml:space="preserve">h </w:t>
            </w:r>
            <w:r w:rsidR="00461995">
              <w:rPr>
                <w:rFonts w:ascii="Arial" w:hAnsi="Arial" w:cs="Arial"/>
                <w:i/>
                <w:sz w:val="16"/>
                <w:szCs w:val="16"/>
              </w:rPr>
              <w:lastRenderedPageBreak/>
              <w:t>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Pr="001C5DDB"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 xml:space="preserve">środki własne z budżetu jednostek </w:t>
            </w:r>
            <w:r w:rsidRPr="00BD3E7D">
              <w:rPr>
                <w:rFonts w:ascii="Arial" w:eastAsia="Times New Roman" w:hAnsi="Arial" w:cs="Arial"/>
                <w:b/>
                <w:bCs/>
                <w:sz w:val="16"/>
                <w:szCs w:val="16"/>
                <w:lang w:eastAsia="pl-PL"/>
              </w:rPr>
              <w:lastRenderedPageBreak/>
              <w:t>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56780644"/>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 xml:space="preserve">wyjaśnienie powodów, dla których projekt nie ma znaczących skutków środowiskowych, biorąc pod uwagę odpowiednie </w:t>
            </w:r>
            <w:r w:rsidRPr="00291C15">
              <w:rPr>
                <w:rFonts w:ascii="Arial" w:hAnsi="Arial" w:cs="Arial"/>
                <w:sz w:val="16"/>
                <w:szCs w:val="16"/>
              </w:rPr>
              <w:lastRenderedPageBreak/>
              <w:t>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F93C7C"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F93C7C"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lastRenderedPageBreak/>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F93C7C"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F93C7C"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w:t>
            </w:r>
            <w:r w:rsidRPr="00E27B6D">
              <w:rPr>
                <w:rFonts w:ascii="Arial" w:hAnsi="Arial" w:cs="Arial"/>
                <w:i/>
                <w:sz w:val="16"/>
                <w:szCs w:val="16"/>
              </w:rPr>
              <w:lastRenderedPageBreak/>
              <w:t>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F93C7C"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lastRenderedPageBreak/>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r w:rsidR="00581328" w:rsidRPr="00581328">
              <w:rPr>
                <w:rFonts w:ascii="Arial" w:hAnsi="Arial" w:cs="Arial"/>
                <w:i/>
                <w:sz w:val="16"/>
                <w:szCs w:val="16"/>
              </w:rPr>
              <w:t>Dz. U. z 2016 r., poz. 672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lastRenderedPageBreak/>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F93C7C"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F93C7C"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6"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lastRenderedPageBreak/>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F93C7C"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F93C7C"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 xml:space="preserve">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t>
            </w:r>
            <w:r w:rsidRPr="001657C6">
              <w:rPr>
                <w:rFonts w:ascii="Arial" w:hAnsi="Arial" w:cs="Arial"/>
                <w:i/>
                <w:sz w:val="16"/>
                <w:szCs w:val="16"/>
              </w:rPr>
              <w:lastRenderedPageBreak/>
              <w:t>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lastRenderedPageBreak/>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lastRenderedPageBreak/>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 xml:space="preserve">r. o udostępnianiu informacji </w:t>
            </w:r>
            <w:r w:rsidR="00E07B88">
              <w:rPr>
                <w:rFonts w:ascii="Arial" w:hAnsi="Arial" w:cs="Arial"/>
                <w:sz w:val="16"/>
                <w:szCs w:val="16"/>
              </w:rPr>
              <w:lastRenderedPageBreak/>
              <w:t>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56780646"/>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w:t>
            </w:r>
            <w:r w:rsidRPr="005C65A3">
              <w:rPr>
                <w:rFonts w:ascii="Arial" w:eastAsia="Times New Roman" w:hAnsi="Arial" w:cs="Arial"/>
                <w:i/>
                <w:sz w:val="16"/>
                <w:szCs w:val="16"/>
                <w:lang w:eastAsia="pl-PL"/>
              </w:rPr>
              <w:t xml:space="preserve">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lastRenderedPageBreak/>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lastRenderedPageBreak/>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AE" w:rsidRDefault="003F39AE" w:rsidP="00C056A3">
      <w:pPr>
        <w:spacing w:after="0" w:line="240" w:lineRule="auto"/>
      </w:pPr>
      <w:r>
        <w:separator/>
      </w:r>
    </w:p>
  </w:endnote>
  <w:endnote w:type="continuationSeparator" w:id="0">
    <w:p w:rsidR="003F39AE" w:rsidRDefault="003F39AE"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20B0503030403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1E4189" w:rsidRPr="007557B3" w:rsidRDefault="001E4189" w:rsidP="007557B3">
            <w:pPr>
              <w:pStyle w:val="Stopka"/>
              <w:jc w:val="right"/>
              <w:rPr>
                <w:rFonts w:ascii="Arial" w:hAnsi="Arial" w:cs="Arial"/>
                <w:sz w:val="14"/>
                <w:szCs w:val="14"/>
              </w:rPr>
            </w:pPr>
            <w:r w:rsidRPr="003433D8">
              <w:rPr>
                <w:rFonts w:ascii="Arial" w:hAnsi="Arial"/>
                <w:b/>
                <w:sz w:val="14"/>
              </w:rPr>
              <w:t xml:space="preserve">Strona </w:t>
            </w:r>
            <w:r w:rsidR="00002FFA" w:rsidRPr="002A3EA6">
              <w:rPr>
                <w:rFonts w:ascii="Arial" w:hAnsi="Arial" w:cs="Arial"/>
                <w:b/>
                <w:bCs/>
                <w:sz w:val="14"/>
                <w:szCs w:val="14"/>
              </w:rPr>
              <w:fldChar w:fldCharType="begin"/>
            </w:r>
            <w:r w:rsidRPr="002A3EA6">
              <w:rPr>
                <w:rFonts w:ascii="Arial" w:hAnsi="Arial" w:cs="Arial"/>
                <w:b/>
                <w:bCs/>
                <w:sz w:val="14"/>
                <w:szCs w:val="14"/>
              </w:rPr>
              <w:instrText>PAGE</w:instrText>
            </w:r>
            <w:r w:rsidR="00002FFA" w:rsidRPr="002A3EA6">
              <w:rPr>
                <w:rFonts w:ascii="Arial" w:hAnsi="Arial" w:cs="Arial"/>
                <w:b/>
                <w:bCs/>
                <w:sz w:val="14"/>
                <w:szCs w:val="14"/>
              </w:rPr>
              <w:fldChar w:fldCharType="separate"/>
            </w:r>
            <w:r w:rsidR="00F93C7C">
              <w:rPr>
                <w:rFonts w:ascii="Arial" w:hAnsi="Arial" w:cs="Arial"/>
                <w:b/>
                <w:bCs/>
                <w:noProof/>
                <w:sz w:val="14"/>
                <w:szCs w:val="14"/>
              </w:rPr>
              <w:t>13</w:t>
            </w:r>
            <w:r w:rsidR="00002FFA" w:rsidRPr="002A3EA6">
              <w:rPr>
                <w:rFonts w:ascii="Arial" w:hAnsi="Arial" w:cs="Arial"/>
                <w:b/>
                <w:bCs/>
                <w:sz w:val="14"/>
                <w:szCs w:val="14"/>
              </w:rPr>
              <w:fldChar w:fldCharType="end"/>
            </w:r>
            <w:r w:rsidRPr="003433D8">
              <w:rPr>
                <w:rFonts w:ascii="Arial" w:hAnsi="Arial"/>
                <w:b/>
                <w:sz w:val="14"/>
              </w:rPr>
              <w:t xml:space="preserve"> z </w:t>
            </w:r>
            <w:r w:rsidR="00002FFA" w:rsidRPr="002A3EA6">
              <w:rPr>
                <w:rFonts w:ascii="Arial" w:hAnsi="Arial" w:cs="Arial"/>
                <w:b/>
                <w:bCs/>
                <w:sz w:val="14"/>
                <w:szCs w:val="14"/>
              </w:rPr>
              <w:fldChar w:fldCharType="begin"/>
            </w:r>
            <w:r w:rsidRPr="002A3EA6">
              <w:rPr>
                <w:rFonts w:ascii="Arial" w:hAnsi="Arial" w:cs="Arial"/>
                <w:b/>
                <w:bCs/>
                <w:sz w:val="14"/>
                <w:szCs w:val="14"/>
              </w:rPr>
              <w:instrText>NUMPAGES</w:instrText>
            </w:r>
            <w:r w:rsidR="00002FFA" w:rsidRPr="002A3EA6">
              <w:rPr>
                <w:rFonts w:ascii="Arial" w:hAnsi="Arial" w:cs="Arial"/>
                <w:b/>
                <w:bCs/>
                <w:sz w:val="14"/>
                <w:szCs w:val="14"/>
              </w:rPr>
              <w:fldChar w:fldCharType="separate"/>
            </w:r>
            <w:r w:rsidR="00F93C7C">
              <w:rPr>
                <w:rFonts w:ascii="Arial" w:hAnsi="Arial" w:cs="Arial"/>
                <w:b/>
                <w:bCs/>
                <w:noProof/>
                <w:sz w:val="14"/>
                <w:szCs w:val="14"/>
              </w:rPr>
              <w:t>36</w:t>
            </w:r>
            <w:r w:rsidR="00002FFA"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89" w:rsidRDefault="001E4189">
    <w:pPr>
      <w:pStyle w:val="Stopka"/>
    </w:pPr>
    <w:r>
      <w:t>5.1</w:t>
    </w:r>
  </w:p>
  <w:p w:rsidR="001E4189" w:rsidRDefault="001E4189">
    <w:pPr>
      <w:pStyle w:val="Stopka"/>
    </w:pPr>
  </w:p>
  <w:p w:rsidR="001E4189" w:rsidRDefault="001E41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AE" w:rsidRDefault="003F39AE" w:rsidP="00C056A3">
      <w:pPr>
        <w:spacing w:after="0" w:line="240" w:lineRule="auto"/>
      </w:pPr>
      <w:r>
        <w:separator/>
      </w:r>
    </w:p>
  </w:footnote>
  <w:footnote w:type="continuationSeparator" w:id="0">
    <w:p w:rsidR="003F39AE" w:rsidRDefault="003F39AE" w:rsidP="00C056A3">
      <w:pPr>
        <w:spacing w:after="0" w:line="240" w:lineRule="auto"/>
      </w:pPr>
      <w:r>
        <w:continuationSeparator/>
      </w:r>
    </w:p>
  </w:footnote>
  <w:footnote w:id="1">
    <w:p w:rsidR="001E4189" w:rsidRPr="00F452E9" w:rsidRDefault="001E4189"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89" w:rsidRPr="00760016" w:rsidRDefault="001E418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89" w:rsidRPr="002E7B6E" w:rsidRDefault="001E418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08A8"/>
    <w:rsid w:val="0000192D"/>
    <w:rsid w:val="00001CD9"/>
    <w:rsid w:val="00002300"/>
    <w:rsid w:val="00002FFA"/>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49D"/>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16C1B"/>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94"/>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340"/>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17D8"/>
    <w:rsid w:val="007B2434"/>
    <w:rsid w:val="007B2BA0"/>
    <w:rsid w:val="007B36ED"/>
    <w:rsid w:val="007B548B"/>
    <w:rsid w:val="007B54F5"/>
    <w:rsid w:val="007B5BA4"/>
    <w:rsid w:val="007B6A69"/>
    <w:rsid w:val="007B7944"/>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35F"/>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3D1A"/>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1B9"/>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3C7C"/>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3CD53-0E86-49D9-B7A6-BB3711D7207D}">
  <ds:schemaRefs>
    <ds:schemaRef ds:uri="http://schemas.openxmlformats.org/officeDocument/2006/bibliography"/>
  </ds:schemaRefs>
</ds:datastoreItem>
</file>

<file path=customXml/itemProps2.xml><?xml version="1.0" encoding="utf-8"?>
<ds:datastoreItem xmlns:ds="http://schemas.openxmlformats.org/officeDocument/2006/customXml" ds:itemID="{3DB62620-7319-4A1C-9ECE-3BE1C92B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19211</Words>
  <Characters>115269</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ekrawczyk</cp:lastModifiedBy>
  <cp:revision>14</cp:revision>
  <cp:lastPrinted>2016-09-09T10:04:00Z</cp:lastPrinted>
  <dcterms:created xsi:type="dcterms:W3CDTF">2017-01-19T10:48:00Z</dcterms:created>
  <dcterms:modified xsi:type="dcterms:W3CDTF">2017-01-26T06:41:00Z</dcterms:modified>
</cp:coreProperties>
</file>