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9755E2" w:rsidP="00A535AA">
      <w:pPr>
        <w:spacing w:after="0"/>
        <w:jc w:val="center"/>
        <w:rPr>
          <w:rFonts w:ascii="Arial" w:hAnsi="Arial" w:cs="Arial"/>
          <w:b/>
          <w:color w:val="FFFFFF"/>
          <w:sz w:val="20"/>
          <w:szCs w:val="20"/>
        </w:rPr>
      </w:pPr>
      <w:r>
        <w:rPr>
          <w:rFonts w:ascii="Arial" w:hAnsi="Arial" w:cs="Arial"/>
          <w:b/>
          <w:color w:val="FFFFFF"/>
          <w:sz w:val="20"/>
          <w:szCs w:val="20"/>
        </w:rPr>
        <w:t>GMINA MIASTO KOSZALIN</w:t>
      </w:r>
    </w:p>
    <w:p w:rsidR="002F39A4" w:rsidRDefault="00D94FBE" w:rsidP="00A535AA">
      <w:pPr>
        <w:spacing w:after="0"/>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9755E2">
        <w:rPr>
          <w:rFonts w:ascii="Arial" w:hAnsi="Arial" w:cs="Arial"/>
          <w:b/>
          <w:color w:val="FFFFFF" w:themeColor="background1"/>
          <w:sz w:val="20"/>
          <w:szCs w:val="20"/>
          <w:lang w:eastAsia="pl-PL"/>
        </w:rPr>
        <w:t>3</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9755E2">
        <w:rPr>
          <w:rFonts w:ascii="Arial" w:hAnsi="Arial" w:cs="Arial"/>
          <w:b/>
          <w:color w:val="FFFFFF" w:themeColor="background1"/>
          <w:sz w:val="20"/>
          <w:szCs w:val="20"/>
          <w:lang w:eastAsia="pl-PL"/>
        </w:rPr>
        <w:t>Koszalińsko-Kołobrzesko-Białogardzkiego Obszaru Funkcjonalnego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142C92">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9755E2">
        <w:rPr>
          <w:rFonts w:ascii="Arial" w:hAnsi="Arial" w:cs="Arial"/>
          <w:b/>
          <w:color w:val="FFFFFF" w:themeColor="background1"/>
          <w:sz w:val="20"/>
          <w:szCs w:val="20"/>
        </w:rPr>
        <w:t>3</w:t>
      </w:r>
      <w:r w:rsidRPr="00825670">
        <w:rPr>
          <w:rFonts w:ascii="Arial" w:hAnsi="Arial" w:cs="Arial"/>
          <w:b/>
          <w:color w:val="FFFFFF" w:themeColor="background1"/>
          <w:sz w:val="20"/>
          <w:szCs w:val="20"/>
        </w:rPr>
        <w:t>.00-IZ.00-32-00</w:t>
      </w:r>
    </w:p>
    <w:p w:rsidR="00142C92" w:rsidRDefault="00142C92" w:rsidP="00DE0475">
      <w:pPr>
        <w:spacing w:after="0" w:line="240" w:lineRule="auto"/>
        <w:jc w:val="center"/>
        <w:rPr>
          <w:rFonts w:ascii="Arial" w:hAnsi="Arial" w:cs="Arial"/>
          <w:b/>
          <w:color w:val="FFFFFF" w:themeColor="background1"/>
          <w:sz w:val="20"/>
          <w:szCs w:val="20"/>
        </w:rPr>
      </w:pPr>
    </w:p>
    <w:p w:rsidR="00142C92" w:rsidRDefault="00142C92" w:rsidP="00DE047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Wersja 2.0</w:t>
      </w:r>
    </w:p>
    <w:p w:rsidR="00142C92" w:rsidRPr="00DE0475" w:rsidRDefault="00142C92"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678063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811B77" w:rsidRDefault="00137E74" w:rsidP="00FA1E9F">
            <w:pPr>
              <w:spacing w:after="0" w:line="240" w:lineRule="auto"/>
              <w:jc w:val="both"/>
              <w:rPr>
                <w:rFonts w:ascii="Arial" w:eastAsia="Times New Roman" w:hAnsi="Arial" w:cs="Arial"/>
                <w:sz w:val="16"/>
                <w:szCs w:val="16"/>
                <w:lang w:eastAsia="pl-PL"/>
              </w:rPr>
            </w:pPr>
          </w:p>
          <w:p w:rsidR="00137E74" w:rsidRPr="00811B77" w:rsidRDefault="00811B77" w:rsidP="00FA1E9F">
            <w:pPr>
              <w:spacing w:after="0" w:line="240" w:lineRule="auto"/>
              <w:jc w:val="both"/>
              <w:rPr>
                <w:rFonts w:ascii="Arial" w:eastAsia="Times New Roman" w:hAnsi="Arial" w:cs="Arial"/>
                <w:sz w:val="16"/>
                <w:szCs w:val="16"/>
                <w:lang w:eastAsia="pl-PL"/>
              </w:rPr>
            </w:pPr>
            <w:r w:rsidRPr="00811B77">
              <w:rPr>
                <w:rFonts w:ascii="Arial" w:eastAsia="Times New Roman" w:hAnsi="Arial" w:cs="Arial"/>
                <w:sz w:val="16"/>
                <w:szCs w:val="16"/>
                <w:lang w:eastAsia="pl-PL"/>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811B77" w:rsidRDefault="00811B77" w:rsidP="00FA1E9F">
            <w:pPr>
              <w:spacing w:after="0" w:line="240" w:lineRule="auto"/>
              <w:jc w:val="both"/>
              <w:rPr>
                <w:rFonts w:ascii="Arial" w:eastAsia="Times New Roman" w:hAnsi="Arial" w:cs="Arial"/>
                <w:sz w:val="16"/>
                <w:szCs w:val="16"/>
                <w:lang w:eastAsia="pl-PL"/>
              </w:rPr>
            </w:pPr>
          </w:p>
          <w:p w:rsidR="00137E74" w:rsidRPr="00280B27" w:rsidRDefault="00137E74" w:rsidP="00FA1E9F">
            <w:pPr>
              <w:spacing w:after="0" w:line="240" w:lineRule="auto"/>
              <w:jc w:val="both"/>
              <w:rPr>
                <w:rFonts w:ascii="Arial" w:hAnsi="Arial" w:cs="Arial"/>
                <w:sz w:val="16"/>
                <w:szCs w:val="16"/>
              </w:rPr>
            </w:pPr>
            <w:r w:rsidRPr="00811B77">
              <w:rPr>
                <w:rFonts w:ascii="Arial" w:eastAsia="Times New Roman" w:hAnsi="Arial" w:cs="Arial"/>
                <w:sz w:val="16"/>
                <w:szCs w:val="16"/>
                <w:lang w:eastAsia="pl-PL"/>
              </w:rPr>
              <w:t>Wszystkie</w:t>
            </w:r>
            <w:r w:rsidRPr="001C5DDB">
              <w:rPr>
                <w:rFonts w:ascii="Arial" w:hAnsi="Arial" w:cs="Arial"/>
                <w:sz w:val="16"/>
                <w:szCs w:val="16"/>
              </w:rPr>
              <w:t xml:space="preserv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856DD6">
                <w:rPr>
                  <w:rStyle w:val="Hipercze"/>
                  <w:rFonts w:ascii="Arial" w:hAnsi="Arial" w:cs="Arial"/>
                  <w:sz w:val="16"/>
                  <w:szCs w:val="16"/>
                </w:rPr>
                <w:t>www.koszalin.pl/pl/zit</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678063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6A0CE8">
          <w:pPr>
            <w:pStyle w:val="Spistreci1"/>
            <w:rPr>
              <w:rFonts w:ascii="Arial" w:eastAsiaTheme="minorEastAsia" w:hAnsi="Arial" w:cs="Arial"/>
              <w:sz w:val="16"/>
              <w:szCs w:val="16"/>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2B346A">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2</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5</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5</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7</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7</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10</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12</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15</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18</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20</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21</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27</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34</w:t>
            </w:r>
            <w:r w:rsidR="006A0CE8" w:rsidRPr="00037A52">
              <w:rPr>
                <w:rFonts w:ascii="Arial" w:hAnsi="Arial" w:cs="Arial"/>
                <w:webHidden/>
                <w:sz w:val="16"/>
                <w:szCs w:val="16"/>
              </w:rPr>
              <w:fldChar w:fldCharType="end"/>
            </w:r>
          </w:hyperlink>
        </w:p>
        <w:p w:rsidR="00037A52" w:rsidRPr="00037A52" w:rsidRDefault="000E206F">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6A0CE8"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6A0CE8" w:rsidRPr="00037A52">
              <w:rPr>
                <w:rFonts w:ascii="Arial" w:hAnsi="Arial" w:cs="Arial"/>
                <w:webHidden/>
                <w:sz w:val="16"/>
                <w:szCs w:val="16"/>
              </w:rPr>
            </w:r>
            <w:r w:rsidR="006A0CE8" w:rsidRPr="00037A52">
              <w:rPr>
                <w:rFonts w:ascii="Arial" w:hAnsi="Arial" w:cs="Arial"/>
                <w:webHidden/>
                <w:sz w:val="16"/>
                <w:szCs w:val="16"/>
              </w:rPr>
              <w:fldChar w:fldCharType="separate"/>
            </w:r>
            <w:r w:rsidR="002B346A">
              <w:rPr>
                <w:rFonts w:ascii="Arial" w:hAnsi="Arial" w:cs="Arial"/>
                <w:webHidden/>
                <w:sz w:val="16"/>
                <w:szCs w:val="16"/>
              </w:rPr>
              <w:t>37</w:t>
            </w:r>
            <w:r w:rsidR="006A0CE8" w:rsidRPr="00037A52">
              <w:rPr>
                <w:rFonts w:ascii="Arial" w:hAnsi="Arial" w:cs="Arial"/>
                <w:webHidden/>
                <w:sz w:val="16"/>
                <w:szCs w:val="16"/>
              </w:rPr>
              <w:fldChar w:fldCharType="end"/>
            </w:r>
          </w:hyperlink>
        </w:p>
        <w:p w:rsidR="001A295B" w:rsidRDefault="006A0CE8"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0E206F"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56780634"/>
            <w:r w:rsidRPr="002360E6">
              <w:rPr>
                <w:rFonts w:cs="Arial"/>
                <w:color w:val="000000"/>
                <w:sz w:val="16"/>
                <w:szCs w:val="16"/>
              </w:rPr>
              <w:lastRenderedPageBreak/>
              <w:t>Wykaz skrótów</w:t>
            </w:r>
            <w:bookmarkEnd w:id="2"/>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 xml:space="preserve">Instytucja Pośrednicząca powołana do wdrażania Strategii ZIT, której rolę pełni </w:t>
      </w:r>
      <w:r w:rsidR="0072269F">
        <w:rPr>
          <w:rFonts w:ascii="Arial" w:hAnsi="Arial" w:cs="Arial"/>
          <w:sz w:val="16"/>
          <w:szCs w:val="16"/>
        </w:rPr>
        <w:t>Gmina Miasto Koszalin</w:t>
      </w:r>
      <w:r w:rsidR="002F0EA9" w:rsidRPr="002F0EA9">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56780635"/>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856DD6">
        <w:rPr>
          <w:rFonts w:ascii="Arial" w:hAnsi="Arial" w:cs="Arial"/>
          <w:sz w:val="16"/>
          <w:szCs w:val="16"/>
        </w:rPr>
        <w:t>KKBOF</w:t>
      </w:r>
      <w:r w:rsidR="003570AE" w:rsidRPr="00E435A0">
        <w:rPr>
          <w:rFonts w:ascii="Arial" w:hAnsi="Arial" w:cs="Arial"/>
          <w:sz w:val="16"/>
          <w:szCs w:val="16"/>
        </w:rPr>
        <w:t xml:space="preserve">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856DD6"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Pr>
          <w:rFonts w:ascii="Arial" w:eastAsia="Times New Roman" w:hAnsi="Arial" w:cs="Arial"/>
          <w:sz w:val="16"/>
          <w:szCs w:val="16"/>
          <w:lang w:eastAsia="pl-PL"/>
        </w:rPr>
        <w:t>KKBOF</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w:t>
      </w:r>
      <w:r>
        <w:rPr>
          <w:rFonts w:ascii="Arial" w:eastAsia="Times New Roman" w:hAnsi="Arial" w:cs="Arial"/>
          <w:sz w:val="16"/>
          <w:szCs w:val="16"/>
          <w:lang w:eastAsia="pl-PL"/>
        </w:rPr>
        <w:t xml:space="preserve">Koszalińsko-Kołobrzesko-Białogardzkiego Obszaru Funkcjonalnego – strategia określająca zintegrowane działania służące rozwiązywaniu problemów gospodarczych, środowiskowych, klimatycznych, demograficznych i społecznych, jakich doświadcza Koszalińsko-Kołobrzesko-Białogardzkiego Obszar Funkcjonalny, z uwzględnieniem potrzeby wspierania powiązań między obszarami miejskimi </w:t>
      </w:r>
      <w:r>
        <w:rPr>
          <w:rFonts w:ascii="Arial" w:eastAsia="Times New Roman" w:hAnsi="Arial" w:cs="Arial"/>
          <w:sz w:val="16"/>
          <w:szCs w:val="16"/>
          <w:lang w:eastAsia="pl-PL"/>
        </w:rPr>
        <w:br/>
        <w:t xml:space="preserve">i wiejskimi, przyjęta Uchwałą nr </w:t>
      </w:r>
      <w:r w:rsidRPr="00BC2FC4">
        <w:rPr>
          <w:rFonts w:ascii="Arial" w:eastAsia="Times New Roman" w:hAnsi="Arial" w:cs="Arial"/>
          <w:sz w:val="16"/>
          <w:szCs w:val="16"/>
          <w:lang w:eastAsia="pl-PL"/>
        </w:rPr>
        <w:t>3/2016 z dnia 28 czerwca 2016 r.</w:t>
      </w:r>
      <w:r>
        <w:rPr>
          <w:rFonts w:ascii="Arial" w:eastAsia="Times New Roman" w:hAnsi="Arial" w:cs="Arial"/>
          <w:sz w:val="16"/>
          <w:szCs w:val="16"/>
          <w:lang w:eastAsia="pl-PL"/>
        </w:rPr>
        <w:t xml:space="preserve"> Komitetu Sterującego ZIT KKBOF w sprawie przyjęcia Strategii Zintegrowanych Inwestycji Terytorialnych Koszalińsko-Kołobrzesko-Białogardzkiego Obszaru Funkcjonalnego</w:t>
      </w:r>
      <w:r>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 xml:space="preserve">wkład własny – środki finansowe lub wkład niepieniężny zabezpieczone przez beneficjenta, które zostaną przeznaczone na pokrycie wydatków kwalifikowalnych i nie zostaną beneficjentowi przekazane w formie dofinansowania (różnica między </w:t>
      </w:r>
      <w:r w:rsidRPr="004A189A">
        <w:rPr>
          <w:rFonts w:ascii="Arial" w:eastAsia="Times New Roman" w:hAnsi="Arial" w:cs="Arial"/>
          <w:sz w:val="16"/>
          <w:szCs w:val="16"/>
          <w:lang w:eastAsia="pl-PL"/>
        </w:rPr>
        <w:lastRenderedPageBreak/>
        <w:t>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wydatek kwalifikowalny – koszt lub wydatek poniesiony w związku z realizacją projektu w ramach RPO WZ, który</w:t>
      </w:r>
      <w:r w:rsidR="00811B77">
        <w:rPr>
          <w:rFonts w:ascii="Arial" w:eastAsia="Times New Roman" w:hAnsi="Arial" w:cs="Arial"/>
          <w:sz w:val="16"/>
          <w:szCs w:val="16"/>
          <w:lang w:eastAsia="pl-PL"/>
        </w:rPr>
        <w:t xml:space="preserve"> 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7" w:name="_Toc447785001"/>
            <w:bookmarkStart w:id="8" w:name="_Toc456780637"/>
            <w:r w:rsidRPr="00AD0CD7">
              <w:rPr>
                <w:rFonts w:ascii="Arial" w:hAnsi="Arial"/>
                <w:b/>
                <w:sz w:val="16"/>
              </w:rPr>
              <w:t>A. Informacje o projekcie</w:t>
            </w:r>
            <w:bookmarkEnd w:id="7"/>
            <w:bookmarkEnd w:id="8"/>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w:t>
            </w:r>
            <w:r w:rsidR="00934743">
              <w:rPr>
                <w:rFonts w:ascii="Arial" w:hAnsi="Arial" w:cs="Arial"/>
                <w:i/>
                <w:sz w:val="16"/>
                <w:szCs w:val="16"/>
              </w:rPr>
              <w:lastRenderedPageBreak/>
              <w:t>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w:t>
            </w:r>
            <w:r w:rsidR="004E350A">
              <w:rPr>
                <w:rFonts w:ascii="Arial" w:hAnsi="Arial" w:cs="Arial"/>
                <w:i/>
                <w:sz w:val="16"/>
                <w:szCs w:val="16"/>
              </w:rPr>
              <w:t xml:space="preserve">i na obszarze </w:t>
            </w:r>
            <w:r w:rsidR="00185CC2">
              <w:rPr>
                <w:rFonts w:ascii="Arial" w:hAnsi="Arial" w:cs="Arial"/>
                <w:i/>
                <w:sz w:val="16"/>
                <w:szCs w:val="16"/>
              </w:rPr>
              <w:t>KKBOF</w:t>
            </w:r>
            <w:r w:rsidRPr="00D2225E">
              <w:rPr>
                <w:rFonts w:ascii="Arial" w:hAnsi="Arial" w:cs="Arial"/>
                <w:i/>
                <w:sz w:val="16"/>
                <w:szCs w:val="16"/>
              </w:rPr>
              <w:t>.</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7079CE">
              <w:rPr>
                <w:rFonts w:ascii="Arial" w:hAnsi="Arial" w:cs="Arial"/>
                <w:i/>
                <w:sz w:val="16"/>
                <w:szCs w:val="16"/>
              </w:rPr>
              <w:t>3</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lastRenderedPageBreak/>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DA36D6">
              <w:rPr>
                <w:rFonts w:ascii="Arial" w:hAnsi="Arial"/>
                <w:i/>
                <w:iCs/>
                <w:sz w:val="16"/>
              </w:rPr>
              <w:t>RPZP.05.03</w:t>
            </w:r>
            <w:r w:rsidRPr="005A41E8">
              <w:rPr>
                <w:rFonts w:ascii="Arial" w:hAnsi="Arial"/>
                <w:i/>
                <w:iCs/>
                <w:sz w:val="16"/>
              </w:rPr>
              <w:t>.00-IZ.00-32-00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DA36D6">
              <w:rPr>
                <w:rFonts w:ascii="Arial" w:hAnsi="Arial"/>
                <w:i/>
                <w:iCs/>
                <w:sz w:val="16"/>
              </w:rPr>
              <w:t>naboru nr RPZP.05.03</w:t>
            </w:r>
            <w:r w:rsidRPr="005A41E8">
              <w:rPr>
                <w:rFonts w:ascii="Arial" w:hAnsi="Arial"/>
                <w:i/>
                <w:iCs/>
                <w:sz w:val="16"/>
              </w:rPr>
              <w:t>.00-IZ.00-32-00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lastRenderedPageBreak/>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sidR="00DA36D6">
              <w:rPr>
                <w:rFonts w:ascii="Arial" w:hAnsi="Arial" w:cs="Arial"/>
                <w:bCs/>
                <w:i/>
                <w:iCs/>
                <w:sz w:val="16"/>
                <w:szCs w:val="16"/>
              </w:rPr>
              <w:t>gralności i funkcjonalności KKBOF</w:t>
            </w:r>
            <w:r>
              <w:rPr>
                <w:rFonts w:ascii="Arial" w:hAnsi="Arial" w:cs="Arial"/>
                <w:bCs/>
                <w:i/>
                <w:iCs/>
                <w:sz w:val="16"/>
                <w:szCs w:val="16"/>
              </w:rPr>
              <w:t xml:space="preserve">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DA36D6">
              <w:rPr>
                <w:rFonts w:ascii="Arial" w:hAnsi="Arial" w:cs="Arial"/>
                <w:i/>
                <w:sz w:val="16"/>
                <w:szCs w:val="16"/>
              </w:rPr>
              <w:t>3</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9" w:name="_Toc447785002"/>
            <w:bookmarkStart w:id="10" w:name="_Toc456780638"/>
            <w:r w:rsidRPr="00FD196C">
              <w:rPr>
                <w:rFonts w:ascii="Arial" w:hAnsi="Arial"/>
                <w:b/>
                <w:sz w:val="16"/>
              </w:rPr>
              <w:t>B. Informacje o wnioskodawcy</w:t>
            </w:r>
            <w:bookmarkEnd w:id="9"/>
            <w:bookmarkEnd w:id="10"/>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w:t>
            </w:r>
            <w:r w:rsidRPr="003F0EBB">
              <w:rPr>
                <w:rFonts w:ascii="Arial" w:hAnsi="Arial" w:cs="Arial"/>
                <w:i/>
                <w:color w:val="000000"/>
                <w:sz w:val="16"/>
                <w:szCs w:val="16"/>
              </w:rPr>
              <w:lastRenderedPageBreak/>
              <w:t>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 xml:space="preserve">uprawnionej do reprezentowania </w:t>
            </w:r>
            <w:r w:rsidR="003E7CDB" w:rsidRPr="003F0EBB">
              <w:rPr>
                <w:rFonts w:ascii="Arial" w:hAnsi="Arial" w:cs="Arial"/>
                <w:color w:val="000000"/>
                <w:sz w:val="16"/>
                <w:szCs w:val="16"/>
              </w:rPr>
              <w:lastRenderedPageBreak/>
              <w:t>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lastRenderedPageBreak/>
              <w:t xml:space="preserve">Należy wpisać stanowisko służbowe osoby uprawnionej do </w:t>
            </w:r>
            <w:r w:rsidRPr="003F0EBB">
              <w:rPr>
                <w:rFonts w:ascii="Arial" w:hAnsi="Arial" w:cs="Arial"/>
                <w:i/>
                <w:color w:val="000000"/>
                <w:sz w:val="16"/>
                <w:szCs w:val="16"/>
              </w:rPr>
              <w:lastRenderedPageBreak/>
              <w:t xml:space="preserve">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DA36D6">
              <w:rPr>
                <w:rFonts w:ascii="Arial" w:hAnsi="Arial" w:cs="Arial"/>
                <w:i/>
                <w:sz w:val="16"/>
                <w:szCs w:val="16"/>
              </w:rPr>
              <w:t xml:space="preserve"> KKBOF</w:t>
            </w:r>
            <w:r w:rsidR="00A321CD" w:rsidRPr="00EF0821">
              <w:rPr>
                <w:rFonts w:ascii="Arial" w:hAnsi="Arial" w:cs="Arial"/>
                <w:i/>
                <w:sz w:val="16"/>
                <w:szCs w:val="16"/>
              </w:rPr>
              <w:t>;</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1" w:name="_Toc447785003"/>
            <w:bookmarkStart w:id="12"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1"/>
            <w:bookmarkEnd w:id="12"/>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lastRenderedPageBreak/>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DA36D6">
              <w:rPr>
                <w:rFonts w:ascii="Arial" w:hAnsi="Arial" w:cs="Arial"/>
                <w:i/>
                <w:iCs/>
                <w:sz w:val="16"/>
                <w:szCs w:val="16"/>
              </w:rPr>
              <w:t>3</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 xml:space="preserve">W przypadku, gdy w związku z realizacją projektu występuje więcej niż jeden Partner, pola C.2.1.-C.2.8. należy multiplikować </w:t>
            </w:r>
            <w:r w:rsidRPr="00E0227B">
              <w:rPr>
                <w:rFonts w:ascii="Arial" w:hAnsi="Arial" w:cs="Arial"/>
                <w:i/>
                <w:sz w:val="16"/>
                <w:szCs w:val="16"/>
              </w:rPr>
              <w:lastRenderedPageBreak/>
              <w:t>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lastRenderedPageBreak/>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3" w:name="_Toc447785004"/>
            <w:bookmarkStart w:id="14" w:name="_Toc456780640"/>
            <w:r w:rsidRPr="00FD196C">
              <w:rPr>
                <w:rFonts w:ascii="Arial" w:hAnsi="Arial"/>
                <w:b/>
                <w:sz w:val="16"/>
              </w:rPr>
              <w:t>D. Charakterystyka projektu</w:t>
            </w:r>
            <w:bookmarkEnd w:id="13"/>
            <w:bookmarkEnd w:id="14"/>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DA36D6">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5" w:name="_Toc441825733"/>
            <w:bookmarkStart w:id="16"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5"/>
            <w:bookmarkEnd w:id="16"/>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DA36D6">
              <w:rPr>
                <w:rFonts w:ascii="Arial" w:hAnsi="Arial" w:cs="Arial"/>
                <w:bCs/>
                <w:i/>
                <w:sz w:val="16"/>
                <w:szCs w:val="16"/>
              </w:rPr>
              <w:t>3</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w:t>
            </w:r>
            <w:r w:rsidR="00DA36D6">
              <w:rPr>
                <w:rFonts w:ascii="Arial" w:hAnsi="Arial" w:cs="Arial"/>
                <w:bCs/>
                <w:i/>
                <w:sz w:val="16"/>
                <w:szCs w:val="20"/>
              </w:rPr>
              <w:t>Koszalińsko-Kołobrzesko-Białogardzkiego Obszaru 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E669F6">
              <w:rPr>
                <w:rFonts w:ascii="Arial" w:hAnsi="Arial" w:cs="Arial"/>
                <w:i/>
                <w:sz w:val="16"/>
                <w:szCs w:val="16"/>
              </w:rPr>
              <w:t>3</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7" w:name="_GoBack"/>
            <w:bookmarkEnd w:id="17"/>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t>
            </w:r>
            <w:r w:rsidR="0015126F">
              <w:rPr>
                <w:rFonts w:ascii="Arial" w:hAnsi="Arial" w:cs="Arial"/>
                <w:i/>
                <w:sz w:val="16"/>
                <w:szCs w:val="16"/>
              </w:rPr>
              <w:lastRenderedPageBreak/>
              <w:t>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lastRenderedPageBreak/>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003AA3">
              <w:rPr>
                <w:rFonts w:ascii="Arial" w:hAnsi="Arial" w:cs="Arial"/>
                <w:i/>
                <w:sz w:val="16"/>
                <w:szCs w:val="16"/>
              </w:rPr>
              <w:t>5.3</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udzielane zgodnie z zasadą konkurencyjności, o której mowa w „Zasadach w zakresie udzielania zamówień w projektach realizowanych w ramach Regionalnego Programu Operacyjnego Województwa </w:t>
            </w:r>
            <w:r w:rsidRPr="002F33EA">
              <w:rPr>
                <w:rFonts w:ascii="Arial" w:hAnsi="Arial" w:cs="Arial"/>
                <w:i/>
                <w:color w:val="000000" w:themeColor="text1"/>
                <w:sz w:val="16"/>
                <w:szCs w:val="16"/>
              </w:rPr>
              <w:lastRenderedPageBreak/>
              <w:t>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5678064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lastRenderedPageBreak/>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lastRenderedPageBreak/>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0E2EDC">
              <w:rPr>
                <w:rFonts w:ascii="Arial" w:hAnsi="Arial" w:cs="Arial"/>
                <w:i/>
                <w:sz w:val="16"/>
                <w:szCs w:val="16"/>
              </w:rPr>
              <w:t>3</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5678064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lastRenderedPageBreak/>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5678064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075E2B">
              <w:rPr>
                <w:rFonts w:ascii="Arial" w:hAnsi="Arial" w:cs="Arial"/>
                <w:i/>
                <w:sz w:val="16"/>
                <w:szCs w:val="16"/>
              </w:rPr>
              <w:t>3</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lastRenderedPageBreak/>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lastRenderedPageBreak/>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075E2B">
              <w:rPr>
                <w:rFonts w:ascii="Arial" w:hAnsi="Arial" w:cs="Arial"/>
                <w:i/>
                <w:iCs/>
                <w:sz w:val="16"/>
                <w:szCs w:val="16"/>
              </w:rPr>
              <w:t>3</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E12995"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075E2B">
              <w:rPr>
                <w:rFonts w:ascii="Arial" w:hAnsi="Arial" w:cs="Arial"/>
                <w:i/>
                <w:sz w:val="16"/>
                <w:szCs w:val="16"/>
              </w:rPr>
              <w:t>3</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t>
            </w:r>
            <w:r w:rsidRPr="00E32A35">
              <w:rPr>
                <w:rFonts w:ascii="Arial" w:hAnsi="Arial" w:cs="Arial"/>
                <w:i/>
                <w:iCs/>
                <w:sz w:val="16"/>
                <w:szCs w:val="16"/>
              </w:rPr>
              <w:lastRenderedPageBreak/>
              <w:t xml:space="preserve">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 xml:space="preserve">W ramach naboru RPZP.05.03.00-IZ.00-32-001/16 istnieje możliwość uwzględnienia kosztów pośrednich. Należy zaznaczyć pole „Dodaj zadanie z kosztami pośrednimi” (jeśli dotyczy). </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podlegają rozliczeniu stawką ryczałtową w wysokości stanowiącej łącznie nie więcej niż 2% kwalifikowalnych kosztów bezpośrednich.</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Wszystkie koszty pośrednie zaplanowane w projekcie należy ująć jako jedną pozycję w budżecie projektu.</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UWAGA: W przypadku projektów generujących dochód kwotę wydatków pośrednich należy skorygować o wskaźnik luki w finansowaniu/zryczałtowanej procentowej stawki dochodu.</w:t>
            </w:r>
          </w:p>
          <w:p w:rsidR="007B5BA4" w:rsidRPr="00572B8A" w:rsidRDefault="00572B8A" w:rsidP="007B5BA4">
            <w:pPr>
              <w:spacing w:after="0" w:line="240" w:lineRule="auto"/>
              <w:jc w:val="both"/>
              <w:rPr>
                <w:rFonts w:ascii="Arial" w:hAnsi="Arial" w:cs="Arial"/>
                <w:i/>
                <w:sz w:val="16"/>
                <w:szCs w:val="16"/>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lastRenderedPageBreak/>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lastRenderedPageBreak/>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lastRenderedPageBreak/>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Pr="001C5DDB"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56780644"/>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0E206F"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lastRenderedPageBreak/>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0E206F"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lastRenderedPageBreak/>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0E206F"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0E206F"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lastRenderedPageBreak/>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0E206F"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lastRenderedPageBreak/>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r w:rsidR="00581328" w:rsidRPr="00581328">
              <w:rPr>
                <w:rFonts w:ascii="Arial" w:hAnsi="Arial" w:cs="Arial"/>
                <w:i/>
                <w:sz w:val="16"/>
                <w:szCs w:val="16"/>
              </w:rPr>
              <w:t>Dz. U. z 2016 r., poz. 672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0E206F"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w:t>
            </w:r>
            <w:r w:rsidR="002213D6">
              <w:rPr>
                <w:rFonts w:ascii="Arial" w:hAnsi="Arial" w:cs="Arial"/>
                <w:i/>
                <w:sz w:val="16"/>
                <w:szCs w:val="16"/>
              </w:rPr>
              <w:lastRenderedPageBreak/>
              <w:t xml:space="preserve">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0E206F"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7"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 xml:space="preserve">Należy też określić, czy przy analizie wariantów lokalizacyjnych przedsięwzięcia zostały uwzględnione ryzyka </w:t>
            </w:r>
            <w:r w:rsidRPr="00785402">
              <w:rPr>
                <w:rFonts w:ascii="Arial" w:hAnsi="Arial" w:cs="Arial"/>
                <w:i/>
                <w:sz w:val="16"/>
                <w:szCs w:val="16"/>
              </w:rPr>
              <w:lastRenderedPageBreak/>
              <w:t>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0E206F"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0E206F"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w:t>
            </w:r>
            <w:r w:rsidRPr="001657C6">
              <w:rPr>
                <w:rFonts w:ascii="Arial" w:hAnsi="Arial" w:cs="Arial"/>
                <w:i/>
                <w:sz w:val="16"/>
                <w:szCs w:val="16"/>
              </w:rPr>
              <w:lastRenderedPageBreak/>
              <w:t>Ocenione zadania zostały zagregowane w oddzielne listy w zależności 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8"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 xml:space="preserve">pisemnych </w:t>
            </w:r>
            <w:r w:rsidRPr="005F3123">
              <w:rPr>
                <w:rFonts w:ascii="Arial" w:hAnsi="Arial" w:cs="Arial"/>
                <w:sz w:val="16"/>
                <w:szCs w:val="16"/>
              </w:rPr>
              <w:lastRenderedPageBreak/>
              <w:t>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lastRenderedPageBreak/>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 xml:space="preserve">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w:t>
            </w:r>
            <w:r w:rsidRPr="00FA496D">
              <w:rPr>
                <w:rFonts w:ascii="Arial" w:hAnsi="Arial" w:cs="Arial"/>
                <w:sz w:val="16"/>
                <w:szCs w:val="16"/>
              </w:rPr>
              <w:lastRenderedPageBreak/>
              <w:t>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2F4D02" w:rsidTr="00564CB7">
        <w:tc>
          <w:tcPr>
            <w:tcW w:w="5000" w:type="pct"/>
            <w:shd w:val="clear" w:color="auto" w:fill="auto"/>
          </w:tcPr>
          <w:p w:rsidR="008D75AD" w:rsidRPr="00412936" w:rsidRDefault="008D75AD" w:rsidP="00316BF3">
            <w:pPr>
              <w:pStyle w:val="Akapitzlist"/>
              <w:numPr>
                <w:ilvl w:val="0"/>
                <w:numId w:val="119"/>
              </w:numPr>
              <w:spacing w:after="0" w:line="240" w:lineRule="auto"/>
              <w:jc w:val="both"/>
              <w:rPr>
                <w:rFonts w:ascii="Arial" w:hAnsi="Arial" w:cs="Arial"/>
                <w:sz w:val="16"/>
                <w:szCs w:val="16"/>
              </w:rPr>
            </w:pPr>
            <w:r w:rsidRPr="00412936">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56780646"/>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 xml:space="preserve">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w:t>
            </w:r>
            <w:r w:rsidRPr="005C65A3">
              <w:rPr>
                <w:rFonts w:ascii="Arial" w:eastAsia="Times New Roman" w:hAnsi="Arial" w:cs="Arial"/>
                <w:bCs/>
                <w:i/>
                <w:sz w:val="16"/>
                <w:szCs w:val="16"/>
                <w:lang w:eastAsia="pl-PL"/>
              </w:rPr>
              <w:lastRenderedPageBreak/>
              <w:t>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lastRenderedPageBreak/>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9"/>
      <w:footerReference w:type="default" r:id="rId20"/>
      <w:headerReference w:type="first" r:id="rId21"/>
      <w:foot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A5" w:rsidRDefault="004330A5" w:rsidP="00C056A3">
      <w:pPr>
        <w:spacing w:after="0" w:line="240" w:lineRule="auto"/>
      </w:pPr>
      <w:r>
        <w:separator/>
      </w:r>
    </w:p>
  </w:endnote>
  <w:endnote w:type="continuationSeparator" w:id="0">
    <w:p w:rsidR="004330A5" w:rsidRDefault="004330A5"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4330A5" w:rsidRPr="007557B3" w:rsidRDefault="004330A5" w:rsidP="007557B3">
            <w:pPr>
              <w:pStyle w:val="Stopka"/>
              <w:jc w:val="right"/>
              <w:rPr>
                <w:rFonts w:ascii="Arial" w:hAnsi="Arial" w:cs="Arial"/>
                <w:sz w:val="14"/>
                <w:szCs w:val="14"/>
              </w:rPr>
            </w:pPr>
            <w:r w:rsidRPr="003433D8">
              <w:rPr>
                <w:rFonts w:ascii="Arial" w:hAnsi="Arial"/>
                <w:b/>
                <w:sz w:val="14"/>
              </w:rPr>
              <w:t xml:space="preserve">Strona </w:t>
            </w:r>
            <w:r w:rsidR="006A0CE8" w:rsidRPr="002A3EA6">
              <w:rPr>
                <w:rFonts w:ascii="Arial" w:hAnsi="Arial" w:cs="Arial"/>
                <w:b/>
                <w:bCs/>
                <w:sz w:val="14"/>
                <w:szCs w:val="14"/>
              </w:rPr>
              <w:fldChar w:fldCharType="begin"/>
            </w:r>
            <w:r w:rsidRPr="002A3EA6">
              <w:rPr>
                <w:rFonts w:ascii="Arial" w:hAnsi="Arial" w:cs="Arial"/>
                <w:b/>
                <w:bCs/>
                <w:sz w:val="14"/>
                <w:szCs w:val="14"/>
              </w:rPr>
              <w:instrText>PAGE</w:instrText>
            </w:r>
            <w:r w:rsidR="006A0CE8" w:rsidRPr="002A3EA6">
              <w:rPr>
                <w:rFonts w:ascii="Arial" w:hAnsi="Arial" w:cs="Arial"/>
                <w:b/>
                <w:bCs/>
                <w:sz w:val="14"/>
                <w:szCs w:val="14"/>
              </w:rPr>
              <w:fldChar w:fldCharType="separate"/>
            </w:r>
            <w:r w:rsidR="000E206F">
              <w:rPr>
                <w:rFonts w:ascii="Arial" w:hAnsi="Arial" w:cs="Arial"/>
                <w:b/>
                <w:bCs/>
                <w:noProof/>
                <w:sz w:val="14"/>
                <w:szCs w:val="14"/>
              </w:rPr>
              <w:t>15</w:t>
            </w:r>
            <w:r w:rsidR="006A0CE8" w:rsidRPr="002A3EA6">
              <w:rPr>
                <w:rFonts w:ascii="Arial" w:hAnsi="Arial" w:cs="Arial"/>
                <w:b/>
                <w:bCs/>
                <w:sz w:val="14"/>
                <w:szCs w:val="14"/>
              </w:rPr>
              <w:fldChar w:fldCharType="end"/>
            </w:r>
            <w:r w:rsidRPr="003433D8">
              <w:rPr>
                <w:rFonts w:ascii="Arial" w:hAnsi="Arial"/>
                <w:b/>
                <w:sz w:val="14"/>
              </w:rPr>
              <w:t xml:space="preserve"> z </w:t>
            </w:r>
            <w:r w:rsidR="006A0CE8" w:rsidRPr="002A3EA6">
              <w:rPr>
                <w:rFonts w:ascii="Arial" w:hAnsi="Arial" w:cs="Arial"/>
                <w:b/>
                <w:bCs/>
                <w:sz w:val="14"/>
                <w:szCs w:val="14"/>
              </w:rPr>
              <w:fldChar w:fldCharType="begin"/>
            </w:r>
            <w:r w:rsidRPr="002A3EA6">
              <w:rPr>
                <w:rFonts w:ascii="Arial" w:hAnsi="Arial" w:cs="Arial"/>
                <w:b/>
                <w:bCs/>
                <w:sz w:val="14"/>
                <w:szCs w:val="14"/>
              </w:rPr>
              <w:instrText>NUMPAGES</w:instrText>
            </w:r>
            <w:r w:rsidR="006A0CE8" w:rsidRPr="002A3EA6">
              <w:rPr>
                <w:rFonts w:ascii="Arial" w:hAnsi="Arial" w:cs="Arial"/>
                <w:b/>
                <w:bCs/>
                <w:sz w:val="14"/>
                <w:szCs w:val="14"/>
              </w:rPr>
              <w:fldChar w:fldCharType="separate"/>
            </w:r>
            <w:r w:rsidR="000E206F">
              <w:rPr>
                <w:rFonts w:ascii="Arial" w:hAnsi="Arial" w:cs="Arial"/>
                <w:b/>
                <w:bCs/>
                <w:noProof/>
                <w:sz w:val="14"/>
                <w:szCs w:val="14"/>
              </w:rPr>
              <w:t>39</w:t>
            </w:r>
            <w:r w:rsidR="006A0CE8"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A5" w:rsidRDefault="004330A5">
    <w:pPr>
      <w:pStyle w:val="Stopka"/>
    </w:pPr>
    <w:r>
      <w:t>5.1</w:t>
    </w:r>
  </w:p>
  <w:p w:rsidR="004330A5" w:rsidRDefault="004330A5">
    <w:pPr>
      <w:pStyle w:val="Stopka"/>
    </w:pPr>
  </w:p>
  <w:p w:rsidR="004330A5" w:rsidRDefault="004330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A5" w:rsidRDefault="004330A5" w:rsidP="00C056A3">
      <w:pPr>
        <w:spacing w:after="0" w:line="240" w:lineRule="auto"/>
      </w:pPr>
      <w:r>
        <w:separator/>
      </w:r>
    </w:p>
  </w:footnote>
  <w:footnote w:type="continuationSeparator" w:id="0">
    <w:p w:rsidR="004330A5" w:rsidRDefault="004330A5" w:rsidP="00C056A3">
      <w:pPr>
        <w:spacing w:after="0" w:line="240" w:lineRule="auto"/>
      </w:pPr>
      <w:r>
        <w:continuationSeparator/>
      </w:r>
    </w:p>
  </w:footnote>
  <w:footnote w:id="1">
    <w:p w:rsidR="004330A5" w:rsidRPr="00F452E9" w:rsidRDefault="004330A5"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A5" w:rsidRPr="00760016" w:rsidRDefault="004330A5"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A5" w:rsidRPr="002E7B6E" w:rsidRDefault="004330A5"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3D83"/>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206F"/>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0A6"/>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C92"/>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260"/>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4D8E"/>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B8A"/>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0CE8"/>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1B77"/>
    <w:rsid w:val="0081269D"/>
    <w:rsid w:val="00812E77"/>
    <w:rsid w:val="0081405A"/>
    <w:rsid w:val="0081447F"/>
    <w:rsid w:val="008144B0"/>
    <w:rsid w:val="00816257"/>
    <w:rsid w:val="008212B3"/>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57EB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995"/>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9F6"/>
    <w:rsid w:val="00E66FE8"/>
    <w:rsid w:val="00E67878"/>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apgw.kzgw.gov.pl/"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klimada.mos.gov.pl/blog/2015/10/30/poradnik_przygotowania_inwestycj/" TargetMode="Externa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koszalin.pl/pl/zit"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D016-A5E5-441C-AB98-C2AE2A96A963}">
  <ds:schemaRefs>
    <ds:schemaRef ds:uri="http://schemas.openxmlformats.org/officeDocument/2006/bibliography"/>
  </ds:schemaRefs>
</ds:datastoreItem>
</file>

<file path=customXml/itemProps2.xml><?xml version="1.0" encoding="utf-8"?>
<ds:datastoreItem xmlns:ds="http://schemas.openxmlformats.org/officeDocument/2006/customXml" ds:itemID="{A93FED7A-A0EC-4B1F-837E-14DFEA7D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20712</Words>
  <Characters>124273</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ekrawczyk</cp:lastModifiedBy>
  <cp:revision>8</cp:revision>
  <cp:lastPrinted>2016-07-25T13:17:00Z</cp:lastPrinted>
  <dcterms:created xsi:type="dcterms:W3CDTF">2017-01-18T14:12:00Z</dcterms:created>
  <dcterms:modified xsi:type="dcterms:W3CDTF">2017-01-25T13:20:00Z</dcterms:modified>
</cp:coreProperties>
</file>