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5" w:rsidRDefault="000F16AF" w:rsidP="002714A5">
      <w:pPr>
        <w:tabs>
          <w:tab w:val="left" w:pos="277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-899795</wp:posOffset>
            </wp:positionH>
            <wp:positionV relativeFrom="margin">
              <wp:posOffset>-1023620</wp:posOffset>
            </wp:positionV>
            <wp:extent cx="7572375" cy="108013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STOWARZYSZENIE SZCZECIŃSKIEGO OBSZARU METROPOLITALNEGO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INSTYTUCJA POŚREDNICZĄCA POWOŁANA DLA WDRAŻANIA STRATEGII  ZINTEGROWANYCH INWESTYCJI TERYTORIALNYCH 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REGIONALNEGO PROGRAMU OPERACYJNEGO 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WOJEWÓDZTWA ZACHODNIOPOMORSKIEGO 2014-2020</w:t>
      </w:r>
    </w:p>
    <w:p w:rsidR="00931BC2" w:rsidRDefault="00931BC2" w:rsidP="00931BC2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DB7CAE">
      <w:pPr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DB7CAE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Załącznik nr 7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DB7CAE" w:rsidRPr="00D543C6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DB7CAE" w:rsidRPr="00DB7CAE">
        <w:rPr>
          <w:rFonts w:ascii="Arial" w:hAnsi="Arial" w:cs="Arial"/>
          <w:b/>
          <w:color w:val="FFFFFF"/>
          <w:sz w:val="20"/>
          <w:szCs w:val="20"/>
        </w:rPr>
        <w:t>2 Gospodarka niskoemisyjna</w:t>
      </w:r>
      <w:r w:rsidR="00DB7CAE" w:rsidRPr="00D543C6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DB7CAE" w:rsidRDefault="000F16AF" w:rsidP="00DB7CAE">
      <w:pPr>
        <w:spacing w:after="0" w:line="240" w:lineRule="auto"/>
        <w:jc w:val="center"/>
        <w:rPr>
          <w:rFonts w:ascii="Arial" w:eastAsia="MyriadPro-Regular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DB7CAE">
        <w:rPr>
          <w:rFonts w:ascii="Arial" w:hAnsi="Arial" w:cs="Arial"/>
          <w:b/>
          <w:color w:val="FFFFFF"/>
          <w:sz w:val="20"/>
          <w:szCs w:val="20"/>
        </w:rPr>
        <w:t>2.</w:t>
      </w:r>
      <w:r w:rsidR="00362D5E">
        <w:rPr>
          <w:rFonts w:ascii="Arial" w:hAnsi="Arial" w:cs="Arial"/>
          <w:b/>
          <w:color w:val="FFFFFF"/>
          <w:sz w:val="20"/>
          <w:szCs w:val="20"/>
        </w:rPr>
        <w:t xml:space="preserve">2 </w:t>
      </w:r>
      <w:bookmarkStart w:id="0" w:name="_GoBack"/>
      <w:bookmarkEnd w:id="0"/>
      <w:r w:rsidR="00DB7CAE" w:rsidRPr="00D543C6">
        <w:rPr>
          <w:rFonts w:ascii="Arial" w:eastAsia="MyriadPro-Regular" w:hAnsi="Arial" w:cs="Arial"/>
          <w:b/>
          <w:color w:val="FFFFFF"/>
          <w:sz w:val="20"/>
          <w:szCs w:val="20"/>
        </w:rPr>
        <w:t xml:space="preserve">Zrównoważona multimodalna mobilność miejska i działania adaptacyjne łagodzące zmiany klimatu w ramach Strategii ZIT </w:t>
      </w:r>
    </w:p>
    <w:p w:rsidR="00931BC2" w:rsidRDefault="00DB7CAE" w:rsidP="00931BC2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D543C6">
        <w:rPr>
          <w:rFonts w:ascii="Arial" w:eastAsia="MyriadPro-Regular" w:hAnsi="Arial" w:cs="Arial"/>
          <w:b/>
          <w:color w:val="FFFFFF"/>
          <w:sz w:val="20"/>
          <w:szCs w:val="20"/>
        </w:rPr>
        <w:t xml:space="preserve">dla </w:t>
      </w:r>
      <w:r w:rsidR="00931BC2">
        <w:rPr>
          <w:rFonts w:ascii="Arial" w:eastAsia="MyriadPro-Regular" w:hAnsi="Arial" w:cs="Arial"/>
          <w:b/>
          <w:color w:val="FFFFFF"/>
          <w:sz w:val="20"/>
          <w:szCs w:val="20"/>
        </w:rPr>
        <w:t>Szczecińskiego Obszaru Metropolitalnego</w:t>
      </w:r>
    </w:p>
    <w:p w:rsidR="000F16AF" w:rsidRPr="00DB24BA" w:rsidRDefault="000F16AF" w:rsidP="00931BC2">
      <w:pPr>
        <w:spacing w:after="0" w:line="240" w:lineRule="auto"/>
        <w:jc w:val="center"/>
        <w:rPr>
          <w:rFonts w:eastAsia="Times New Roman" w:cs="Arial"/>
          <w:color w:val="FFFFFF" w:themeColor="background1"/>
          <w:szCs w:val="20"/>
        </w:rPr>
      </w:pPr>
    </w:p>
    <w:p w:rsidR="000F16AF" w:rsidRPr="0080186F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Nabór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nr</w:t>
      </w:r>
      <w:r w:rsidR="00DB7CAE" w:rsidRPr="00DB7CAE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DB7CAE">
        <w:rPr>
          <w:rFonts w:ascii="Arial" w:hAnsi="Arial" w:cs="Arial"/>
          <w:b/>
          <w:color w:val="FFFFFF"/>
          <w:sz w:val="20"/>
          <w:szCs w:val="20"/>
        </w:rPr>
        <w:t>RPZP.02.0</w:t>
      </w:r>
      <w:r w:rsidR="00931BC2">
        <w:rPr>
          <w:rFonts w:ascii="Arial" w:hAnsi="Arial" w:cs="Arial"/>
          <w:b/>
          <w:color w:val="FFFFFF"/>
          <w:sz w:val="20"/>
          <w:szCs w:val="20"/>
        </w:rPr>
        <w:t>2</w:t>
      </w:r>
      <w:r w:rsidR="00DB7CAE" w:rsidRPr="00D543C6">
        <w:rPr>
          <w:rFonts w:ascii="Arial" w:hAnsi="Arial" w:cs="Arial"/>
          <w:b/>
          <w:color w:val="FFFFFF"/>
          <w:sz w:val="20"/>
          <w:szCs w:val="20"/>
        </w:rPr>
        <w:t>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0F16AF" w:rsidRDefault="000F16AF" w:rsidP="00DB7CAE">
      <w:pPr>
        <w:jc w:val="center"/>
        <w:rPr>
          <w:rFonts w:ascii="TitilliumText25L" w:hAnsi="TitilliumText25L"/>
          <w:color w:val="FFFFFF" w:themeColor="background1"/>
          <w:sz w:val="24"/>
          <w:szCs w:val="24"/>
        </w:rPr>
      </w:pPr>
      <w:r w:rsidRPr="00374688">
        <w:rPr>
          <w:rFonts w:ascii="Arial" w:hAnsi="Arial" w:cs="Arial"/>
          <w:b/>
          <w:color w:val="FFFFFF" w:themeColor="background1"/>
          <w:sz w:val="20"/>
          <w:szCs w:val="20"/>
        </w:rPr>
        <w:lastRenderedPageBreak/>
        <w:t>Szczecin</w:t>
      </w:r>
      <w:r w:rsidRPr="00AE31D8">
        <w:rPr>
          <w:rFonts w:ascii="TitilliumText25L" w:hAnsi="TitilliumText25L"/>
          <w:color w:val="FFFFFF" w:themeColor="background1"/>
          <w:sz w:val="24"/>
          <w:szCs w:val="24"/>
        </w:rPr>
        <w:t xml:space="preserve"> </w:t>
      </w:r>
      <w:r w:rsidR="00B773D9" w:rsidRPr="00B773D9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DB7CAE">
        <w:rPr>
          <w:rFonts w:ascii="Arial" w:hAnsi="Arial" w:cs="Arial"/>
          <w:b/>
          <w:color w:val="FFFFFF" w:themeColor="background1"/>
          <w:sz w:val="20"/>
          <w:szCs w:val="20"/>
        </w:rPr>
        <w:t>2017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1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9E1239" w:rsidRPr="00B74E9A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9E1239" w:rsidRPr="00B74E9A">
        <w:rPr>
          <w:rFonts w:ascii="Arial" w:hAnsi="Arial" w:cs="Arial"/>
          <w:b/>
        </w:rPr>
        <w:fldChar w:fldCharType="separate"/>
      </w:r>
    </w:p>
    <w:p w:rsidR="00B74E9A" w:rsidRPr="00B74E9A" w:rsidRDefault="00362D5E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4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5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8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362D5E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12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9E1239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2" w:name="bookmark12"/>
      <w:bookmarkEnd w:id="1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3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4" w:name="bookmark13"/>
      <w:bookmarkEnd w:id="2"/>
      <w:bookmarkEnd w:id="3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5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6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6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46507066"/>
      <w:bookmarkStart w:id="8" w:name="bookmark14"/>
      <w:bookmarkEnd w:id="4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7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9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9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(Dz.U.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t.j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 poz. 2193);</w:t>
      </w:r>
    </w:p>
    <w:bookmarkEnd w:id="8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10" w:name="_Toc446507068"/>
      <w:r w:rsidRPr="00B74E9A">
        <w:rPr>
          <w:rFonts w:ascii="Arial" w:hAnsi="Arial" w:cs="Arial"/>
          <w:bCs w:val="0"/>
          <w:color w:val="auto"/>
          <w:sz w:val="20"/>
        </w:rPr>
        <w:lastRenderedPageBreak/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10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1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2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r w:rsidR="00C252EB" w:rsidRPr="009623ED">
        <w:rPr>
          <w:rFonts w:ascii="Arial" w:hAnsi="Arial" w:cs="Arial"/>
          <w:sz w:val="20"/>
          <w:szCs w:val="20"/>
        </w:rPr>
        <w:t>kwalifikowalność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lastRenderedPageBreak/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3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3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4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4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 xml:space="preserve">projektu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362D5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F0" w:rsidRDefault="009455F0" w:rsidP="00C50548">
      <w:pPr>
        <w:spacing w:after="0" w:line="240" w:lineRule="auto"/>
      </w:pPr>
      <w:r>
        <w:separator/>
      </w:r>
    </w:p>
  </w:endnote>
  <w:end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62D5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62D5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F0" w:rsidRDefault="009455F0" w:rsidP="00C50548">
      <w:pPr>
        <w:spacing w:after="0" w:line="240" w:lineRule="auto"/>
      </w:pPr>
      <w:r>
        <w:separator/>
      </w:r>
    </w:p>
  </w:footnote>
  <w:foot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A4E9C"/>
    <w:rsid w:val="002B0449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2D5E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F0B74"/>
    <w:rsid w:val="006140DB"/>
    <w:rsid w:val="00617FAA"/>
    <w:rsid w:val="00627290"/>
    <w:rsid w:val="00632D31"/>
    <w:rsid w:val="006345A3"/>
    <w:rsid w:val="00640BC5"/>
    <w:rsid w:val="006411BD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1BC2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1239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70F86"/>
    <w:rsid w:val="00D7158F"/>
    <w:rsid w:val="00D745C3"/>
    <w:rsid w:val="00DA6F03"/>
    <w:rsid w:val="00DB29D3"/>
    <w:rsid w:val="00DB3D1B"/>
    <w:rsid w:val="00DB7CAE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39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8E563-4857-49C2-83DC-780678B8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4613</Words>
  <Characters>27679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Użytkownik systemu Windows</cp:lastModifiedBy>
  <cp:revision>8</cp:revision>
  <cp:lastPrinted>2016-01-28T12:03:00Z</cp:lastPrinted>
  <dcterms:created xsi:type="dcterms:W3CDTF">2017-02-28T07:53:00Z</dcterms:created>
  <dcterms:modified xsi:type="dcterms:W3CDTF">2017-04-19T12:10:00Z</dcterms:modified>
</cp:coreProperties>
</file>