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D56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B90D56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STOWARZYSZENIE SZCZECIŃSKIEGO OBSZARU METROPOLITALNEGO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B12F61" w:rsidRDefault="00B12F61" w:rsidP="00B12F61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2A431D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Załącznik nr 5 do R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egulaminu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CA23FE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 Gospodarka, Innowacje, Nowoczesne Technologie</w:t>
                  </w:r>
                </w:p>
                <w:p w:rsidR="00D76B06" w:rsidRPr="00CA23FE" w:rsidRDefault="00D76B06" w:rsidP="00CA23FE">
                  <w:pPr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Działanie </w:t>
                  </w:r>
                  <w:r w:rsidR="00CA23FE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1.12</w:t>
                  </w:r>
                  <w:r w:rsidR="002A431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 </w:t>
                  </w:r>
                  <w:r w:rsidR="00CA23FE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Tworzenie i rozbudowa infrastruktury na rzecz rozwoju gospodarczego </w:t>
                  </w:r>
                  <w:r w:rsidR="002A431D" w:rsidRPr="006A6138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 ramach </w:t>
                  </w:r>
                  <w:r w:rsidR="002A431D" w:rsidRPr="00AC5AA0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Strategii ZIT </w:t>
                  </w:r>
                  <w:r w:rsidR="00CA23FE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dla Koszalińsko-Kołobrzesko-Białogardzkiego Obszaru Funkcjonalnego</w:t>
                  </w: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CA23FE" w:rsidRDefault="00CA23FE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nr </w:t>
                  </w:r>
                  <w:r w:rsidR="00CA23F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RPZP.01.12</w:t>
                  </w:r>
                  <w:r w:rsidR="002A431D" w:rsidRPr="006A6138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.00-IZ.00-32-001/16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  <w:bookmarkStart w:id="0" w:name="_GoBack"/>
                  <w:bookmarkEnd w:id="0"/>
                </w:p>
                <w:p w:rsidR="00D76B06" w:rsidRDefault="00D76B06" w:rsidP="0080186F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B12F61" w:rsidRPr="0080186F" w:rsidRDefault="00B12F61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FF3325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Szczecin 2017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B90D5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B90D5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B90D5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5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8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9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="00783209" w:rsidRPr="004B4AE9">
          <w:rPr>
            <w:rFonts w:ascii="Arial" w:hAnsi="Arial" w:cs="Arial"/>
            <w:b w:val="0"/>
            <w:noProof/>
            <w:webHidden/>
          </w:rPr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="00783209"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B90D5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B90D5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B90D56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="00783209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783209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1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1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2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2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3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1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 U.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 U. z 201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672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r w:rsidR="00E03FEA" w:rsidRPr="00D42262">
        <w:rPr>
          <w:rFonts w:ascii="Arial" w:hAnsi="Arial" w:cs="Arial"/>
          <w:sz w:val="20"/>
          <w:szCs w:val="20"/>
        </w:rPr>
        <w:t>Dz. U.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stawa z dnia 11 lipca 2014 r. o zasadach realizacji programów w zakresie polityki spójności finansowanych w perspektywie finansowej 2014-2020 (tj. Dz. U z 2016 r.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4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4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5" w:name="_Toc431374298"/>
      <w:r w:rsidRPr="00A8211C">
        <w:rPr>
          <w:iCs/>
        </w:rPr>
        <w:t>Ocena oddziaływania na środowisko</w:t>
      </w:r>
      <w:bookmarkEnd w:id="5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6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6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7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7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8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8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9" w:name="_Toc431374302"/>
      <w:r w:rsidRPr="00A8211C">
        <w:t>Organy wydające decyzję o środowiskowych uwarunkowaniach</w:t>
      </w:r>
      <w:bookmarkEnd w:id="9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0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10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1" w:name="_Toc431374304"/>
      <w:r w:rsidRPr="0073584A">
        <w:rPr>
          <w:iCs/>
        </w:rPr>
        <w:t>Ponowna</w:t>
      </w:r>
      <w:r w:rsidRPr="00A8211C">
        <w:t xml:space="preserve"> OOŚ</w:t>
      </w:r>
      <w:bookmarkEnd w:id="11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2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2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oceny oddziaływania na obszar Natura 2000 („screening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screening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3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3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4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4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5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5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6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6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screeningu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445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7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7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7"/>
          <w:footerReference w:type="even" r:id="rId18"/>
          <w:footerReference w:type="defaul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0" t="0" r="381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B90D56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56" w:rsidRDefault="00B90D56">
      <w:r>
        <w:separator/>
      </w:r>
    </w:p>
  </w:endnote>
  <w:endnote w:type="continuationSeparator" w:id="0">
    <w:p w:rsidR="00B90D56" w:rsidRDefault="00B9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Default="007832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CA23FE">
      <w:rPr>
        <w:rFonts w:ascii="Arial" w:hAnsi="Arial" w:cs="Arial"/>
        <w:b/>
        <w:bCs/>
        <w:noProof/>
        <w:sz w:val="14"/>
        <w:szCs w:val="14"/>
      </w:rPr>
      <w:t>2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CA23FE">
      <w:rPr>
        <w:rFonts w:ascii="Arial" w:hAnsi="Arial" w:cs="Arial"/>
        <w:b/>
        <w:bCs/>
        <w:noProof/>
        <w:sz w:val="14"/>
        <w:szCs w:val="14"/>
      </w:rPr>
      <w:t>27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56" w:rsidRDefault="00B90D56">
      <w:r>
        <w:separator/>
      </w:r>
    </w:p>
  </w:footnote>
  <w:footnote w:type="continuationSeparator" w:id="0">
    <w:p w:rsidR="00B90D56" w:rsidRDefault="00B90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940"/>
    <w:rsid w:val="0000438B"/>
    <w:rsid w:val="00025F2D"/>
    <w:rsid w:val="00047D60"/>
    <w:rsid w:val="00052B14"/>
    <w:rsid w:val="00086791"/>
    <w:rsid w:val="000C40C0"/>
    <w:rsid w:val="00127916"/>
    <w:rsid w:val="00131DCA"/>
    <w:rsid w:val="00142CF8"/>
    <w:rsid w:val="00143875"/>
    <w:rsid w:val="001439FC"/>
    <w:rsid w:val="001607ED"/>
    <w:rsid w:val="00177884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431D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5B220B"/>
    <w:rsid w:val="0062013F"/>
    <w:rsid w:val="006257E6"/>
    <w:rsid w:val="006336CA"/>
    <w:rsid w:val="0065656D"/>
    <w:rsid w:val="00675318"/>
    <w:rsid w:val="00682CED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3209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84D5F"/>
    <w:rsid w:val="009913AE"/>
    <w:rsid w:val="009A24FA"/>
    <w:rsid w:val="009B3175"/>
    <w:rsid w:val="009B725F"/>
    <w:rsid w:val="009C724B"/>
    <w:rsid w:val="009D70CE"/>
    <w:rsid w:val="00A067A7"/>
    <w:rsid w:val="00A069F0"/>
    <w:rsid w:val="00A22505"/>
    <w:rsid w:val="00A24B94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2F61"/>
    <w:rsid w:val="00B179FF"/>
    <w:rsid w:val="00B23E88"/>
    <w:rsid w:val="00B260DD"/>
    <w:rsid w:val="00B53E5F"/>
    <w:rsid w:val="00B6402C"/>
    <w:rsid w:val="00B75D94"/>
    <w:rsid w:val="00B90D56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A23FE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5D90"/>
    <w:rsid w:val="00F7735C"/>
    <w:rsid w:val="00F77CE3"/>
    <w:rsid w:val="00FB13FA"/>
    <w:rsid w:val="00FC5D51"/>
    <w:rsid w:val="00FC7527"/>
    <w:rsid w:val="00FD0147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Data" Target="diagrams/data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PL/AUTO/?uri=OJ:L:2001:197:TOC" TargetMode="External"/><Relationship Id="rId24" Type="http://schemas.microsoft.com/office/2007/relationships/diagramDrawing" Target="diagrams/drawing2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diagramColors" Target="diagrams/colors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QuickStyle" Target="diagrams/quickStyle1.xml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5EA1E874-51D2-46E8-A01B-C9A93B0C916E}" type="presOf" srcId="{62F50EB3-91B2-4D30-B2A5-4754A2F5AEC2}" destId="{4DEA8F74-9520-48A6-A7B5-AC67F43D4BE8}" srcOrd="0" destOrd="0" presId="urn:microsoft.com/office/officeart/2005/8/layout/orgChart1"/>
    <dgm:cxn modelId="{77745027-AAB7-4F29-BA01-D3CD0FF69411}" type="presOf" srcId="{2637F372-D7B2-4842-93F7-5BE8064364B8}" destId="{FC9ACD61-EE10-4F8A-858D-256447E21237}" srcOrd="0" destOrd="0" presId="urn:microsoft.com/office/officeart/2005/8/layout/orgChart1"/>
    <dgm:cxn modelId="{EF56169F-3971-431A-A716-6D4E6E62DF7F}" type="presOf" srcId="{E0D51028-1276-4DAB-BB60-0928B76D778B}" destId="{0F0836F3-663A-4185-BBF4-75B872E37C42}" srcOrd="0" destOrd="0" presId="urn:microsoft.com/office/officeart/2005/8/layout/orgChart1"/>
    <dgm:cxn modelId="{9F678681-3D0F-4C7D-9103-E412C369D4EF}" type="presOf" srcId="{5784F7E5-1042-4FF0-8992-CAB4389C8470}" destId="{BCFE3D7F-829E-4345-8A82-C174BAB6373B}" srcOrd="0" destOrd="0" presId="urn:microsoft.com/office/officeart/2005/8/layout/orgChart1"/>
    <dgm:cxn modelId="{7CF07E7D-DE04-400C-9F41-DA3FE1A89957}" type="presOf" srcId="{C0747A0C-EB57-4067-945D-1D85610F27A5}" destId="{E04ECDD5-89DA-479E-8318-52041588EF62}" srcOrd="1" destOrd="0" presId="urn:microsoft.com/office/officeart/2005/8/layout/orgChart1"/>
    <dgm:cxn modelId="{BF7A0B0C-615A-43CD-BC93-F5F8E94DD101}" type="presOf" srcId="{CE3F49E3-5F62-4C5E-93B0-97CB2B71E64E}" destId="{3C740E35-CEE5-4578-BE9C-FBEB0E2546A1}" srcOrd="0" destOrd="0" presId="urn:microsoft.com/office/officeart/2005/8/layout/orgChart1"/>
    <dgm:cxn modelId="{0D7CDAE2-32D9-41DB-80E3-C4684C8FD161}" type="presOf" srcId="{5F059901-5F14-4F33-A48D-539179EED00E}" destId="{42D1A735-FAD4-4E9F-80CF-6CFD53CB6EF9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4A484AC4-8C16-42E1-8CA4-326D0FC0ED59}" type="presOf" srcId="{3CE9EE46-D26B-4CBB-809B-C2732A6B4CCD}" destId="{8495AFE0-8A75-45F1-8F3C-9515E67FD804}" srcOrd="0" destOrd="0" presId="urn:microsoft.com/office/officeart/2005/8/layout/orgChart1"/>
    <dgm:cxn modelId="{44CADC58-F934-4BA6-A020-F281EED3AEE2}" type="presOf" srcId="{F96831DA-9A03-4563-BD53-22251593DF0A}" destId="{D4F4F61E-E689-452E-ABB7-658C4F787715}" srcOrd="0" destOrd="0" presId="urn:microsoft.com/office/officeart/2005/8/layout/orgChart1"/>
    <dgm:cxn modelId="{9C85A917-D1A7-4C4D-A470-E2D74879D92C}" type="presOf" srcId="{4CE8D0E6-5018-4E1E-B296-00B3DFE3410B}" destId="{F0DCEA1B-5318-4E4E-87C5-9D1FBCF10BA0}" srcOrd="1" destOrd="0" presId="urn:microsoft.com/office/officeart/2005/8/layout/orgChart1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5AD7E2EA-82CA-4348-B035-8EDDC3325AC5}" type="presOf" srcId="{C0747A0C-EB57-4067-945D-1D85610F27A5}" destId="{ABEFE894-5000-45C6-8937-70D9A104A266}" srcOrd="0" destOrd="0" presId="urn:microsoft.com/office/officeart/2005/8/layout/orgChart1"/>
    <dgm:cxn modelId="{909A87FF-8AD9-4C04-BE52-DEBB4418E346}" type="presOf" srcId="{6F7C474F-493E-4BE8-8A46-F4753F05EC3A}" destId="{C1136735-6220-479A-8191-8C0482AD566A}" srcOrd="0" destOrd="0" presId="urn:microsoft.com/office/officeart/2005/8/layout/orgChart1"/>
    <dgm:cxn modelId="{C1825EDB-126A-4C37-97D9-27C37FF451B9}" type="presOf" srcId="{2637F372-D7B2-4842-93F7-5BE8064364B8}" destId="{12DBB3B3-C804-4FD4-A21D-B6DFE9911479}" srcOrd="1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1A1D6431-456B-49F1-9E51-CCF3DFA94DFC}" type="presOf" srcId="{3145E58A-1CB9-4C2E-88C6-9A8A331180A4}" destId="{A5DFA02E-67B7-4688-96CC-BE0382C51E31}" srcOrd="0" destOrd="0" presId="urn:microsoft.com/office/officeart/2005/8/layout/orgChart1"/>
    <dgm:cxn modelId="{51829D29-714E-4B18-84EA-0DD0E4D2DB4A}" type="presOf" srcId="{4CE8D0E6-5018-4E1E-B296-00B3DFE3410B}" destId="{583C2CAA-DA09-45C5-BE6C-E892CB3E6621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D4508BCF-96E7-4910-A699-29FE5C5711D9}" type="presOf" srcId="{7CB50AFF-6F90-4DA1-A353-A91325C1C406}" destId="{D369416E-2AFB-419E-A0A5-A11C02C8B170}" srcOrd="0" destOrd="0" presId="urn:microsoft.com/office/officeart/2005/8/layout/orgChart1"/>
    <dgm:cxn modelId="{40D4F1AE-A027-49DC-87D4-83AF2DE172DB}" type="presOf" srcId="{E0D51028-1276-4DAB-BB60-0928B76D778B}" destId="{3CB16C79-0BCB-4C9E-8CB3-9B2E9D22F2E3}" srcOrd="1" destOrd="0" presId="urn:microsoft.com/office/officeart/2005/8/layout/orgChart1"/>
    <dgm:cxn modelId="{3DD8FD86-560B-49E5-8EBA-46675FF853DC}" type="presOf" srcId="{6F7C474F-493E-4BE8-8A46-F4753F05EC3A}" destId="{9828C317-5488-46F8-BB9F-AE73A8AAC78C}" srcOrd="1" destOrd="0" presId="urn:microsoft.com/office/officeart/2005/8/layout/orgChart1"/>
    <dgm:cxn modelId="{CF9666AD-EFB5-4DEB-9149-3D79F6A81395}" type="presOf" srcId="{CFA07E9A-97C6-4CA2-8CBB-282C2629EBBF}" destId="{D29495F6-C007-4397-AD21-5C1FB04F004C}" srcOrd="0" destOrd="0" presId="urn:microsoft.com/office/officeart/2005/8/layout/orgChart1"/>
    <dgm:cxn modelId="{30D1B73E-895E-4B23-99B9-D77EED32C852}" type="presOf" srcId="{62F50EB3-91B2-4D30-B2A5-4754A2F5AEC2}" destId="{8A8B8114-BDE0-4712-A739-BA067BAB9BB3}" srcOrd="1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AB0231F6-9E94-48C1-8B1B-54B4EBB4BF22}" type="presOf" srcId="{234A5420-7543-48E8-A759-55DA38C178E9}" destId="{88144A92-DF75-4F1C-ADC3-3AB01B84C994}" srcOrd="0" destOrd="0" presId="urn:microsoft.com/office/officeart/2005/8/layout/orgChart1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29B7D825-5C60-41B8-AB5E-AE5C36D49927}" type="presOf" srcId="{5784F7E5-1042-4FF0-8992-CAB4389C8470}" destId="{845F4134-29FC-4F65-88D4-13ADF01757F6}" srcOrd="1" destOrd="0" presId="urn:microsoft.com/office/officeart/2005/8/layout/orgChart1"/>
    <dgm:cxn modelId="{54CA6A44-48C1-47A8-9C5D-EBB56939860F}" type="presOf" srcId="{5CB0C7AD-61F4-4658-8276-6FF7B2BDF340}" destId="{1EA5F9F1-2793-4232-AD9E-79012492E2CB}" srcOrd="0" destOrd="0" presId="urn:microsoft.com/office/officeart/2005/8/layout/orgChart1"/>
    <dgm:cxn modelId="{9F30B802-AD8D-4C51-BB72-9990C0E45B20}" type="presOf" srcId="{5F059901-5F14-4F33-A48D-539179EED00E}" destId="{1250C8A0-3033-4982-9593-5D9BF7CB78DA}" srcOrd="0" destOrd="0" presId="urn:microsoft.com/office/officeart/2005/8/layout/orgChart1"/>
    <dgm:cxn modelId="{389DE677-1317-46F9-952A-F56D2C025B36}" type="presParOf" srcId="{8495AFE0-8A75-45F1-8F3C-9515E67FD804}" destId="{3C0395A1-BE56-49A0-94F2-6C91A79E9D86}" srcOrd="0" destOrd="0" presId="urn:microsoft.com/office/officeart/2005/8/layout/orgChart1"/>
    <dgm:cxn modelId="{7F85FBF9-8565-41BD-92A1-F88A2EA9471E}" type="presParOf" srcId="{3C0395A1-BE56-49A0-94F2-6C91A79E9D86}" destId="{0DA86A37-0248-4A93-8F07-7C896160AB7E}" srcOrd="0" destOrd="0" presId="urn:microsoft.com/office/officeart/2005/8/layout/orgChart1"/>
    <dgm:cxn modelId="{300864D3-4933-4D90-AEC3-B5D3D94A5A80}" type="presParOf" srcId="{0DA86A37-0248-4A93-8F07-7C896160AB7E}" destId="{583C2CAA-DA09-45C5-BE6C-E892CB3E6621}" srcOrd="0" destOrd="0" presId="urn:microsoft.com/office/officeart/2005/8/layout/orgChart1"/>
    <dgm:cxn modelId="{F79E3440-3478-4F9A-9656-264232FF4E0A}" type="presParOf" srcId="{0DA86A37-0248-4A93-8F07-7C896160AB7E}" destId="{F0DCEA1B-5318-4E4E-87C5-9D1FBCF10BA0}" srcOrd="1" destOrd="0" presId="urn:microsoft.com/office/officeart/2005/8/layout/orgChart1"/>
    <dgm:cxn modelId="{789F1FC3-58A0-44F3-81A0-E592476D1E57}" type="presParOf" srcId="{3C0395A1-BE56-49A0-94F2-6C91A79E9D86}" destId="{DB16E92C-3529-40C6-96D1-307F9F504F53}" srcOrd="1" destOrd="0" presId="urn:microsoft.com/office/officeart/2005/8/layout/orgChart1"/>
    <dgm:cxn modelId="{25A96FAC-EBDC-40DE-9CD5-F7CB35B0196F}" type="presParOf" srcId="{DB16E92C-3529-40C6-96D1-307F9F504F53}" destId="{D4F4F61E-E689-452E-ABB7-658C4F787715}" srcOrd="0" destOrd="0" presId="urn:microsoft.com/office/officeart/2005/8/layout/orgChart1"/>
    <dgm:cxn modelId="{8C5B9CCE-C6AE-4E21-99CF-0C9DF56CB08A}" type="presParOf" srcId="{DB16E92C-3529-40C6-96D1-307F9F504F53}" destId="{1C15830A-3867-4976-AA20-6404B6A50CF3}" srcOrd="1" destOrd="0" presId="urn:microsoft.com/office/officeart/2005/8/layout/orgChart1"/>
    <dgm:cxn modelId="{22ACC385-3460-4598-A356-7AA1BFCEF3E0}" type="presParOf" srcId="{1C15830A-3867-4976-AA20-6404B6A50CF3}" destId="{D20C565B-3D6E-4FAB-9A13-C46EA7B24907}" srcOrd="0" destOrd="0" presId="urn:microsoft.com/office/officeart/2005/8/layout/orgChart1"/>
    <dgm:cxn modelId="{BCD86EB6-2EA3-41CC-95F3-370361084CCB}" type="presParOf" srcId="{D20C565B-3D6E-4FAB-9A13-C46EA7B24907}" destId="{1250C8A0-3033-4982-9593-5D9BF7CB78DA}" srcOrd="0" destOrd="0" presId="urn:microsoft.com/office/officeart/2005/8/layout/orgChart1"/>
    <dgm:cxn modelId="{87128714-ABC6-41C0-884B-442F6E234C56}" type="presParOf" srcId="{D20C565B-3D6E-4FAB-9A13-C46EA7B24907}" destId="{42D1A735-FAD4-4E9F-80CF-6CFD53CB6EF9}" srcOrd="1" destOrd="0" presId="urn:microsoft.com/office/officeart/2005/8/layout/orgChart1"/>
    <dgm:cxn modelId="{94B5ECC7-6F02-4C98-A424-4AF81C399D3E}" type="presParOf" srcId="{1C15830A-3867-4976-AA20-6404B6A50CF3}" destId="{6EC7D421-E9D1-4416-A64E-385E9A8F7328}" srcOrd="1" destOrd="0" presId="urn:microsoft.com/office/officeart/2005/8/layout/orgChart1"/>
    <dgm:cxn modelId="{D9DFC95B-5E0F-427E-87ED-1F210778A7A9}" type="presParOf" srcId="{6EC7D421-E9D1-4416-A64E-385E9A8F7328}" destId="{88144A92-DF75-4F1C-ADC3-3AB01B84C994}" srcOrd="0" destOrd="0" presId="urn:microsoft.com/office/officeart/2005/8/layout/orgChart1"/>
    <dgm:cxn modelId="{F054E792-5CB9-4EEF-B470-56C4E0C4A99B}" type="presParOf" srcId="{6EC7D421-E9D1-4416-A64E-385E9A8F7328}" destId="{030C932A-389D-48D0-B0A0-FFF9FE2037A7}" srcOrd="1" destOrd="0" presId="urn:microsoft.com/office/officeart/2005/8/layout/orgChart1"/>
    <dgm:cxn modelId="{8034C2E9-C420-4526-BFEE-2E4BE632E366}" type="presParOf" srcId="{030C932A-389D-48D0-B0A0-FFF9FE2037A7}" destId="{745C0B19-09C7-4672-8641-DB4745D14E2A}" srcOrd="0" destOrd="0" presId="urn:microsoft.com/office/officeart/2005/8/layout/orgChart1"/>
    <dgm:cxn modelId="{420B91CF-EB7E-46E2-B77C-50C85D2885EC}" type="presParOf" srcId="{745C0B19-09C7-4672-8641-DB4745D14E2A}" destId="{C1136735-6220-479A-8191-8C0482AD566A}" srcOrd="0" destOrd="0" presId="urn:microsoft.com/office/officeart/2005/8/layout/orgChart1"/>
    <dgm:cxn modelId="{5EED005B-4AF0-4D65-9239-C32D63109F98}" type="presParOf" srcId="{745C0B19-09C7-4672-8641-DB4745D14E2A}" destId="{9828C317-5488-46F8-BB9F-AE73A8AAC78C}" srcOrd="1" destOrd="0" presId="urn:microsoft.com/office/officeart/2005/8/layout/orgChart1"/>
    <dgm:cxn modelId="{3C91735E-39FC-4BA4-9C49-8A4745F7BCE4}" type="presParOf" srcId="{030C932A-389D-48D0-B0A0-FFF9FE2037A7}" destId="{58EAE88E-37D4-434A-815E-DE4073D06D56}" srcOrd="1" destOrd="0" presId="urn:microsoft.com/office/officeart/2005/8/layout/orgChart1"/>
    <dgm:cxn modelId="{1FF848E7-B2FC-4D9D-B8D5-6480BF84B02A}" type="presParOf" srcId="{58EAE88E-37D4-434A-815E-DE4073D06D56}" destId="{D29495F6-C007-4397-AD21-5C1FB04F004C}" srcOrd="0" destOrd="0" presId="urn:microsoft.com/office/officeart/2005/8/layout/orgChart1"/>
    <dgm:cxn modelId="{2340E698-BB23-4A26-8C59-A4F4A8547291}" type="presParOf" srcId="{58EAE88E-37D4-434A-815E-DE4073D06D56}" destId="{A66C83C8-1E16-4DA6-9A36-4464CCDA7DFF}" srcOrd="1" destOrd="0" presId="urn:microsoft.com/office/officeart/2005/8/layout/orgChart1"/>
    <dgm:cxn modelId="{E9015F23-133F-48DF-AA3E-36C3E0646D82}" type="presParOf" srcId="{A66C83C8-1E16-4DA6-9A36-4464CCDA7DFF}" destId="{2A1EEDA9-6E0D-470C-9661-5450D3604C11}" srcOrd="0" destOrd="0" presId="urn:microsoft.com/office/officeart/2005/8/layout/orgChart1"/>
    <dgm:cxn modelId="{5D21B6E1-2993-4CEF-B8F9-7F8B81E9C5BD}" type="presParOf" srcId="{2A1EEDA9-6E0D-470C-9661-5450D3604C11}" destId="{0F0836F3-663A-4185-BBF4-75B872E37C42}" srcOrd="0" destOrd="0" presId="urn:microsoft.com/office/officeart/2005/8/layout/orgChart1"/>
    <dgm:cxn modelId="{87408CC4-6FB8-4171-9003-D9F4F15F8260}" type="presParOf" srcId="{2A1EEDA9-6E0D-470C-9661-5450D3604C11}" destId="{3CB16C79-0BCB-4C9E-8CB3-9B2E9D22F2E3}" srcOrd="1" destOrd="0" presId="urn:microsoft.com/office/officeart/2005/8/layout/orgChart1"/>
    <dgm:cxn modelId="{8246FD32-6813-4385-A8BF-CDCEED206A02}" type="presParOf" srcId="{A66C83C8-1E16-4DA6-9A36-4464CCDA7DFF}" destId="{247F6E21-D25E-468F-AD53-33A4950ED728}" srcOrd="1" destOrd="0" presId="urn:microsoft.com/office/officeart/2005/8/layout/orgChart1"/>
    <dgm:cxn modelId="{6897B856-3733-44EC-8ADD-37914766738A}" type="presParOf" srcId="{A66C83C8-1E16-4DA6-9A36-4464CCDA7DFF}" destId="{B771B2AC-4B7D-4689-97A8-310C227B5E75}" srcOrd="2" destOrd="0" presId="urn:microsoft.com/office/officeart/2005/8/layout/orgChart1"/>
    <dgm:cxn modelId="{08DCBE83-0A6F-45FB-B37D-9F2547776252}" type="presParOf" srcId="{030C932A-389D-48D0-B0A0-FFF9FE2037A7}" destId="{B1B67A4B-0CBE-4021-A8A7-E8D88B634499}" srcOrd="2" destOrd="0" presId="urn:microsoft.com/office/officeart/2005/8/layout/orgChart1"/>
    <dgm:cxn modelId="{E5EB3461-CE87-4A64-A457-E064C483EE85}" type="presParOf" srcId="{6EC7D421-E9D1-4416-A64E-385E9A8F7328}" destId="{1EA5F9F1-2793-4232-AD9E-79012492E2CB}" srcOrd="2" destOrd="0" presId="urn:microsoft.com/office/officeart/2005/8/layout/orgChart1"/>
    <dgm:cxn modelId="{176FF296-3900-4545-B050-A3CC0200BFFC}" type="presParOf" srcId="{6EC7D421-E9D1-4416-A64E-385E9A8F7328}" destId="{F2F6D8EA-E417-45CD-BE7B-9007B14D5EFE}" srcOrd="3" destOrd="0" presId="urn:microsoft.com/office/officeart/2005/8/layout/orgChart1"/>
    <dgm:cxn modelId="{25F874BE-EE96-436C-A55C-483528A7DAED}" type="presParOf" srcId="{F2F6D8EA-E417-45CD-BE7B-9007B14D5EFE}" destId="{71D2439A-D914-446D-807B-CD16ACBE3A3E}" srcOrd="0" destOrd="0" presId="urn:microsoft.com/office/officeart/2005/8/layout/orgChart1"/>
    <dgm:cxn modelId="{8B381EEF-D89B-4980-B986-EE2A2CB21187}" type="presParOf" srcId="{71D2439A-D914-446D-807B-CD16ACBE3A3E}" destId="{FC9ACD61-EE10-4F8A-858D-256447E21237}" srcOrd="0" destOrd="0" presId="urn:microsoft.com/office/officeart/2005/8/layout/orgChart1"/>
    <dgm:cxn modelId="{FBC3B3C0-EA32-4D17-B2BD-E1DA73D4D8E4}" type="presParOf" srcId="{71D2439A-D914-446D-807B-CD16ACBE3A3E}" destId="{12DBB3B3-C804-4FD4-A21D-B6DFE9911479}" srcOrd="1" destOrd="0" presId="urn:microsoft.com/office/officeart/2005/8/layout/orgChart1"/>
    <dgm:cxn modelId="{90DE18AD-93D1-43C1-82FD-33943BDF3164}" type="presParOf" srcId="{F2F6D8EA-E417-45CD-BE7B-9007B14D5EFE}" destId="{E83D3ACF-47AD-4F37-80D6-304A06F9C97E}" srcOrd="1" destOrd="0" presId="urn:microsoft.com/office/officeart/2005/8/layout/orgChart1"/>
    <dgm:cxn modelId="{B7595034-F8AF-46AC-9E8F-F4F71A348F0A}" type="presParOf" srcId="{E83D3ACF-47AD-4F37-80D6-304A06F9C97E}" destId="{A5DFA02E-67B7-4688-96CC-BE0382C51E31}" srcOrd="0" destOrd="0" presId="urn:microsoft.com/office/officeart/2005/8/layout/orgChart1"/>
    <dgm:cxn modelId="{93B1B925-5472-4C7E-AC2D-42F204EBE171}" type="presParOf" srcId="{E83D3ACF-47AD-4F37-80D6-304A06F9C97E}" destId="{B3F0398C-7B7C-47D9-89F3-991B752978C9}" srcOrd="1" destOrd="0" presId="urn:microsoft.com/office/officeart/2005/8/layout/orgChart1"/>
    <dgm:cxn modelId="{A1CC53D6-896D-495C-A70F-A71535B03C0F}" type="presParOf" srcId="{B3F0398C-7B7C-47D9-89F3-991B752978C9}" destId="{4FF56A5F-323B-466C-9D26-0AF6235A17C5}" srcOrd="0" destOrd="0" presId="urn:microsoft.com/office/officeart/2005/8/layout/orgChart1"/>
    <dgm:cxn modelId="{89FDCB3F-E72C-45B0-A844-97CE4638F617}" type="presParOf" srcId="{4FF56A5F-323B-466C-9D26-0AF6235A17C5}" destId="{ABEFE894-5000-45C6-8937-70D9A104A266}" srcOrd="0" destOrd="0" presId="urn:microsoft.com/office/officeart/2005/8/layout/orgChart1"/>
    <dgm:cxn modelId="{7049E026-A87C-4C9B-B97A-F08EE93224CE}" type="presParOf" srcId="{4FF56A5F-323B-466C-9D26-0AF6235A17C5}" destId="{E04ECDD5-89DA-479E-8318-52041588EF62}" srcOrd="1" destOrd="0" presId="urn:microsoft.com/office/officeart/2005/8/layout/orgChart1"/>
    <dgm:cxn modelId="{4E69E247-29B0-42D5-9466-BD1611C3B02C}" type="presParOf" srcId="{B3F0398C-7B7C-47D9-89F3-991B752978C9}" destId="{7134DA7D-2515-4ABB-ACF5-4F1D100C52B3}" srcOrd="1" destOrd="0" presId="urn:microsoft.com/office/officeart/2005/8/layout/orgChart1"/>
    <dgm:cxn modelId="{0A16732B-54BA-4784-84FE-84729D0AA56A}" type="presParOf" srcId="{B3F0398C-7B7C-47D9-89F3-991B752978C9}" destId="{71271DE6-7B70-452B-850C-F8D0B89B95ED}" srcOrd="2" destOrd="0" presId="urn:microsoft.com/office/officeart/2005/8/layout/orgChart1"/>
    <dgm:cxn modelId="{A9BC53D4-DAD0-4E56-9829-8CC6C8C5177E}" type="presParOf" srcId="{F2F6D8EA-E417-45CD-BE7B-9007B14D5EFE}" destId="{D72AEC1B-2732-45F0-AD94-42C1161DD470}" srcOrd="2" destOrd="0" presId="urn:microsoft.com/office/officeart/2005/8/layout/orgChart1"/>
    <dgm:cxn modelId="{315E17A1-8D01-4F35-A40C-E3F8FCC62D0E}" type="presParOf" srcId="{1C15830A-3867-4976-AA20-6404B6A50CF3}" destId="{B7295372-1C57-41AB-B735-F0EAB16033DA}" srcOrd="2" destOrd="0" presId="urn:microsoft.com/office/officeart/2005/8/layout/orgChart1"/>
    <dgm:cxn modelId="{CF2A8058-1DD2-49A7-A5A7-20D40DDC2277}" type="presParOf" srcId="{DB16E92C-3529-40C6-96D1-307F9F504F53}" destId="{3C740E35-CEE5-4578-BE9C-FBEB0E2546A1}" srcOrd="2" destOrd="0" presId="urn:microsoft.com/office/officeart/2005/8/layout/orgChart1"/>
    <dgm:cxn modelId="{603C25FC-C9BB-47F7-BC05-57462B4F0FCA}" type="presParOf" srcId="{DB16E92C-3529-40C6-96D1-307F9F504F53}" destId="{6A1B3274-123D-454F-B127-4C9AA668C363}" srcOrd="3" destOrd="0" presId="urn:microsoft.com/office/officeart/2005/8/layout/orgChart1"/>
    <dgm:cxn modelId="{CAD96235-DE97-4876-9EA2-87FB0CEF242F}" type="presParOf" srcId="{6A1B3274-123D-454F-B127-4C9AA668C363}" destId="{52776409-BABD-45EF-B77F-A30187534800}" srcOrd="0" destOrd="0" presId="urn:microsoft.com/office/officeart/2005/8/layout/orgChart1"/>
    <dgm:cxn modelId="{5C955BED-8732-4433-9711-4263D9D678C0}" type="presParOf" srcId="{52776409-BABD-45EF-B77F-A30187534800}" destId="{4DEA8F74-9520-48A6-A7B5-AC67F43D4BE8}" srcOrd="0" destOrd="0" presId="urn:microsoft.com/office/officeart/2005/8/layout/orgChart1"/>
    <dgm:cxn modelId="{DAB5CFA7-1A89-4527-9FEA-570471F11F1A}" type="presParOf" srcId="{52776409-BABD-45EF-B77F-A30187534800}" destId="{8A8B8114-BDE0-4712-A739-BA067BAB9BB3}" srcOrd="1" destOrd="0" presId="urn:microsoft.com/office/officeart/2005/8/layout/orgChart1"/>
    <dgm:cxn modelId="{90503C51-B55D-43A2-84AD-C750D784F5A8}" type="presParOf" srcId="{6A1B3274-123D-454F-B127-4C9AA668C363}" destId="{CEBF4772-C4FD-4BBA-A0AC-3714A8505B46}" srcOrd="1" destOrd="0" presId="urn:microsoft.com/office/officeart/2005/8/layout/orgChart1"/>
    <dgm:cxn modelId="{79816938-B88F-48E6-AA4C-F6893C5FE0A9}" type="presParOf" srcId="{CEBF4772-C4FD-4BBA-A0AC-3714A8505B46}" destId="{D369416E-2AFB-419E-A0A5-A11C02C8B170}" srcOrd="0" destOrd="0" presId="urn:microsoft.com/office/officeart/2005/8/layout/orgChart1"/>
    <dgm:cxn modelId="{822DC3DC-AB77-47F1-8D42-5C0D6F12C8BA}" type="presParOf" srcId="{CEBF4772-C4FD-4BBA-A0AC-3714A8505B46}" destId="{C662D3B0-A3D1-4FA7-ABAD-9043C1A35749}" srcOrd="1" destOrd="0" presId="urn:microsoft.com/office/officeart/2005/8/layout/orgChart1"/>
    <dgm:cxn modelId="{1FD58045-C1E9-47EB-A3D5-536C149765B7}" type="presParOf" srcId="{C662D3B0-A3D1-4FA7-ABAD-9043C1A35749}" destId="{9B1A6B12-5475-42DE-B550-107404613A4E}" srcOrd="0" destOrd="0" presId="urn:microsoft.com/office/officeart/2005/8/layout/orgChart1"/>
    <dgm:cxn modelId="{9C34826A-CAA1-4A3C-AEBF-D54B96A57A61}" type="presParOf" srcId="{9B1A6B12-5475-42DE-B550-107404613A4E}" destId="{BCFE3D7F-829E-4345-8A82-C174BAB6373B}" srcOrd="0" destOrd="0" presId="urn:microsoft.com/office/officeart/2005/8/layout/orgChart1"/>
    <dgm:cxn modelId="{7EBF986C-69CF-41C5-B630-37465A18827C}" type="presParOf" srcId="{9B1A6B12-5475-42DE-B550-107404613A4E}" destId="{845F4134-29FC-4F65-88D4-13ADF01757F6}" srcOrd="1" destOrd="0" presId="urn:microsoft.com/office/officeart/2005/8/layout/orgChart1"/>
    <dgm:cxn modelId="{A3475726-0CE3-4060-9727-5F0403825FF5}" type="presParOf" srcId="{C662D3B0-A3D1-4FA7-ABAD-9043C1A35749}" destId="{2D9A1ABE-0738-45B2-B1A4-3CFE1068A334}" srcOrd="1" destOrd="0" presId="urn:microsoft.com/office/officeart/2005/8/layout/orgChart1"/>
    <dgm:cxn modelId="{4F7CDB95-3311-4044-98D4-781B80F43C6A}" type="presParOf" srcId="{C662D3B0-A3D1-4FA7-ABAD-9043C1A35749}" destId="{8E4656E5-650D-4A02-8ADA-400CE8AB2A22}" srcOrd="2" destOrd="0" presId="urn:microsoft.com/office/officeart/2005/8/layout/orgChart1"/>
    <dgm:cxn modelId="{F8952840-70A8-4F32-A9E3-FEDD9B074E85}" type="presParOf" srcId="{6A1B3274-123D-454F-B127-4C9AA668C363}" destId="{F3532896-B993-445F-BF8C-9469AB08C6DB}" srcOrd="2" destOrd="0" presId="urn:microsoft.com/office/officeart/2005/8/layout/orgChart1"/>
    <dgm:cxn modelId="{5A92B16D-CF9D-43FA-98E5-6D4F703ABBB3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CD5ABA84-3B2C-46A9-B08F-AE65A87426DA}" type="presOf" srcId="{8050930E-FB6C-42B2-A5A8-9C360444BE13}" destId="{2BF56B70-99CB-4613-A96B-BC2C3F85F6F1}" srcOrd="0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B92B58B8-F01E-4A57-9102-29D72F4BDFA4}" type="presOf" srcId="{846499AC-9967-40DC-ADDB-A4848CF57EBB}" destId="{D4FC352C-8DA5-44AF-939A-F4DD393CDE42}" srcOrd="0" destOrd="0" presId="urn:microsoft.com/office/officeart/2005/8/layout/orgChart1"/>
    <dgm:cxn modelId="{79655EB1-7415-4E41-9D66-055F34AD5B0E}" type="presOf" srcId="{E8351B28-6EFF-46C6-8103-59552D9A96C1}" destId="{81562BBA-C98E-4BB5-B7D4-953C20B75EB8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62D503AD-FAC8-49D8-B783-108D9FFE294F}" type="presOf" srcId="{9F2AB3DD-5668-4BB5-8FC7-6C317CA554D3}" destId="{8F04A0D3-031A-4060-92B0-49C682905362}" srcOrd="1" destOrd="0" presId="urn:microsoft.com/office/officeart/2005/8/layout/orgChart1"/>
    <dgm:cxn modelId="{9D42BE50-4E08-4342-90C7-DDFAF960555F}" type="presOf" srcId="{25CFED2C-DCA3-444C-8959-8BDB543585D1}" destId="{700AE3C5-9B2D-45AE-9B60-8D47CF2FCBE0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1C5C2548-9AA9-423A-829B-CCF5473F6E83}" type="presOf" srcId="{E7B25577-7700-43C6-9A6E-2F91E4EBD275}" destId="{46A70FC5-3E22-44A8-84EA-ABDAC16CBC70}" srcOrd="1" destOrd="0" presId="urn:microsoft.com/office/officeart/2005/8/layout/orgChart1"/>
    <dgm:cxn modelId="{C7230FAA-F66F-4F2A-A605-3E5C70CC2527}" type="presOf" srcId="{15C4A8C4-209C-437B-8EB3-FAFAE9AC3135}" destId="{8C9A55A0-6D7A-4F1F-9C4E-00667306AB3E}" srcOrd="0" destOrd="0" presId="urn:microsoft.com/office/officeart/2005/8/layout/orgChart1"/>
    <dgm:cxn modelId="{EC16E934-8412-4345-8636-1FC1A8635F58}" type="presOf" srcId="{F701A75C-B4E2-4E53-97B1-2F85FF93C8B8}" destId="{A69DD711-0D99-4DC1-B7EC-92666E0E809B}" srcOrd="0" destOrd="0" presId="urn:microsoft.com/office/officeart/2005/8/layout/orgChart1"/>
    <dgm:cxn modelId="{025A7C72-ED0B-4613-AA16-7DAD40A1D729}" type="presOf" srcId="{8195A2E5-DCE3-4DD8-B7B0-BA8273D3DD66}" destId="{826886F3-E1E7-46E5-90EC-273B4EAFA989}" srcOrd="0" destOrd="0" presId="urn:microsoft.com/office/officeart/2005/8/layout/orgChart1"/>
    <dgm:cxn modelId="{F507FD74-9A34-4833-8CAE-01748AEB00E6}" type="presOf" srcId="{8802044C-9C5E-4E9F-AD70-2191072A0E10}" destId="{AF266A8A-FC54-4DBB-A754-EE8F6543A118}" srcOrd="0" destOrd="0" presId="urn:microsoft.com/office/officeart/2005/8/layout/orgChart1"/>
    <dgm:cxn modelId="{32242F5F-4310-4591-975E-171A63A2C101}" type="presOf" srcId="{C0A5F317-DA60-4E59-9651-89D45D7090B6}" destId="{8CC87127-6C05-407E-9663-0CA8789ABCB6}" srcOrd="0" destOrd="0" presId="urn:microsoft.com/office/officeart/2005/8/layout/orgChart1"/>
    <dgm:cxn modelId="{01228549-4A80-4069-B610-7FF00DD851D5}" type="presOf" srcId="{DE765DCC-341C-4583-8C4D-14CAC613DE21}" destId="{E15A267B-D5AB-4DA2-B9C4-BDD524C350FC}" srcOrd="0" destOrd="0" presId="urn:microsoft.com/office/officeart/2005/8/layout/orgChart1"/>
    <dgm:cxn modelId="{FD60865F-3E8E-434D-811B-775AF81FFA03}" type="presOf" srcId="{53E0583F-DC9D-48E2-902B-84CBE2C1C543}" destId="{C1A4954A-61EA-4DA0-9E68-591481B052AA}" srcOrd="0" destOrd="0" presId="urn:microsoft.com/office/officeart/2005/8/layout/orgChart1"/>
    <dgm:cxn modelId="{633F21B0-8770-494E-86F2-DA0393454DC6}" type="presOf" srcId="{7CD146B7-2A7F-445D-A635-FC853089A5E5}" destId="{184BA522-E2C3-4781-A3D4-041F398D4639}" srcOrd="0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07EBFA5F-1BC0-4C3D-949B-7AFC11EE4C57}" type="presOf" srcId="{7BB19A8A-CDAC-4B3D-8DBA-4F7D37CFC019}" destId="{4E7A2059-FC4B-4C11-913E-D8835FD4FE62}" srcOrd="0" destOrd="0" presId="urn:microsoft.com/office/officeart/2005/8/layout/orgChart1"/>
    <dgm:cxn modelId="{69397619-C831-48B3-A159-AC75BAED3D26}" type="presOf" srcId="{6B52689B-A7D1-40ED-BED5-D9BA36256E86}" destId="{901D1B39-8A4C-49BC-9C20-E572BC60653C}" srcOrd="0" destOrd="0" presId="urn:microsoft.com/office/officeart/2005/8/layout/orgChart1"/>
    <dgm:cxn modelId="{DA998B3A-BB57-42A4-8558-4802C7B7150F}" type="presOf" srcId="{7D6E8CD8-D09A-4CDD-BFD0-9CF6CE5C9289}" destId="{8AD22405-7541-4CDC-9D40-13EA2C884DF8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78E9E84D-5BF4-4336-83D7-25D0100F7031}" type="presOf" srcId="{5AFE989E-76E6-4CE6-A8F6-A24A29C8BD80}" destId="{AECDDFE3-21C5-4F82-9A1A-04C88C80D64C}" srcOrd="0" destOrd="0" presId="urn:microsoft.com/office/officeart/2005/8/layout/orgChart1"/>
    <dgm:cxn modelId="{FD98BF84-0BC2-49D5-AE2B-15731D2AC368}" type="presOf" srcId="{D20DDB9E-057E-429E-BD83-249C21CD0796}" destId="{FBF8A7DF-3AD3-4699-BE01-3BBF6CF6F9C6}" srcOrd="1" destOrd="0" presId="urn:microsoft.com/office/officeart/2005/8/layout/orgChart1"/>
    <dgm:cxn modelId="{E5CBB34A-C174-4F8E-A9B1-D85C1CAA9A62}" type="presOf" srcId="{4604BB31-0094-4C06-9F7A-4D2AFAA1EB47}" destId="{FA5836FE-4C0C-4636-8D74-34EC881FF870}" srcOrd="0" destOrd="0" presId="urn:microsoft.com/office/officeart/2005/8/layout/orgChart1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6DC021C4-D44C-4F59-A7C3-7C2DD030C0AB}" type="presOf" srcId="{7D6E8CD8-D09A-4CDD-BFD0-9CF6CE5C9289}" destId="{DF15C0E5-319F-43A5-AA0E-E4B0479F111D}" srcOrd="1" destOrd="0" presId="urn:microsoft.com/office/officeart/2005/8/layout/orgChart1"/>
    <dgm:cxn modelId="{8AE90ECE-0C9C-421A-B7C5-D66DEB44DB29}" type="presOf" srcId="{8802044C-9C5E-4E9F-AD70-2191072A0E10}" destId="{7E847D16-094D-4D5C-B7D0-F3EF4C35A99C}" srcOrd="1" destOrd="0" presId="urn:microsoft.com/office/officeart/2005/8/layout/orgChart1"/>
    <dgm:cxn modelId="{4BA8AAE9-27F5-4A3F-94F9-F9956CC1CC4C}" type="presOf" srcId="{DE765DCC-341C-4583-8C4D-14CAC613DE21}" destId="{81ADB44E-CE97-40B6-A22F-7F5A8F1499FB}" srcOrd="1" destOrd="0" presId="urn:microsoft.com/office/officeart/2005/8/layout/orgChart1"/>
    <dgm:cxn modelId="{8D50C955-995A-45F2-BFAC-711F1B1DBB9B}" type="presOf" srcId="{2B95CD5D-72C2-40E8-9BAF-9AC769625E9C}" destId="{8C29B30F-0BC7-481B-A28E-71450E5D2EEF}" srcOrd="0" destOrd="0" presId="urn:microsoft.com/office/officeart/2005/8/layout/orgChart1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D77F2F0D-FF71-472D-ADF8-E39C6CBBFBE4}" type="presOf" srcId="{A128BAC4-E41A-4C32-8FFA-5601A5BB625D}" destId="{5B4C9320-B81D-420A-A7E6-2DEB4BC33A2E}" srcOrd="0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BEFBB475-B83D-4D3A-AAC5-0061BDB1047C}" type="presOf" srcId="{E14C1E79-E3E7-4449-AC97-1C180CA06841}" destId="{535AC6FF-B8E3-45ED-9488-795E2538EE85}" srcOrd="0" destOrd="0" presId="urn:microsoft.com/office/officeart/2005/8/layout/orgChart1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87F08E92-4C53-48AD-B107-68EE56E7FE57}" type="presOf" srcId="{15C4A8C4-209C-437B-8EB3-FAFAE9AC3135}" destId="{444C1323-A1CB-4D02-9B8B-ED7B0DD6CD66}" srcOrd="1" destOrd="0" presId="urn:microsoft.com/office/officeart/2005/8/layout/orgChart1"/>
    <dgm:cxn modelId="{3BB7AE0D-55B1-4FD2-A89D-B79F7F36629B}" type="presOf" srcId="{19E6074C-BD63-4930-A338-F846BBB05C2B}" destId="{D07EFDF8-A445-490F-AF5B-20F1CFAA748F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F2F24267-E756-4CC5-AFF6-5844D9966B7E}" type="presOf" srcId="{2B3C9A25-A82C-4C3E-8612-0F7987210FB6}" destId="{4F90244F-8E3B-4771-93AC-932D3D54BBAE}" srcOrd="1" destOrd="0" presId="urn:microsoft.com/office/officeart/2005/8/layout/orgChart1"/>
    <dgm:cxn modelId="{5016B9EE-E339-4AEC-AF2C-C1DE554F86FD}" type="presOf" srcId="{E7B25577-7700-43C6-9A6E-2F91E4EBD275}" destId="{E6F7FABC-C449-4B9B-9ED4-97507D382016}" srcOrd="0" destOrd="0" presId="urn:microsoft.com/office/officeart/2005/8/layout/orgChart1"/>
    <dgm:cxn modelId="{B7727C4E-C4CA-47F8-8ED8-19CBDFBF0A4C}" type="presOf" srcId="{7BB19A8A-CDAC-4B3D-8DBA-4F7D37CFC019}" destId="{D83822B3-0DCE-4D70-8562-CF7537AF0483}" srcOrd="1" destOrd="0" presId="urn:microsoft.com/office/officeart/2005/8/layout/orgChart1"/>
    <dgm:cxn modelId="{1D5CAE80-60DF-4C3C-9E10-7E956682B8CD}" type="presOf" srcId="{B015A94D-E508-4B2D-8C71-01384FBEC907}" destId="{ED6C2898-5C67-44FD-A7AC-C5FD8E937318}" srcOrd="1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1065CFA0-A900-4FAD-BCB3-11D195ED9E0D}" type="presOf" srcId="{CFB48649-4440-45B2-B253-105366B791B7}" destId="{07FCC3FF-F7D5-4CB9-99EA-D27AAFE4C8B8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AED07C21-78CC-43D2-B83F-679F5F5AAE94}" type="presOf" srcId="{BC208C9E-EDA9-439C-B461-186B4B02D7AD}" destId="{701B1D33-D4F5-49A8-A42B-7FC86315AE8D}" srcOrd="0" destOrd="0" presId="urn:microsoft.com/office/officeart/2005/8/layout/orgChart1"/>
    <dgm:cxn modelId="{48D23F13-AE64-4B42-B0B2-63C2C2E821AC}" type="presOf" srcId="{DE8CBA9B-9962-411D-8907-2C5A4799395C}" destId="{03D4A651-4637-4C10-A0F8-C70CAC8B5DA2}" srcOrd="0" destOrd="0" presId="urn:microsoft.com/office/officeart/2005/8/layout/orgChart1"/>
    <dgm:cxn modelId="{E2907F80-94A5-4310-B4F1-90802E0ACD8C}" type="presOf" srcId="{CFB48649-4440-45B2-B253-105366B791B7}" destId="{53258423-2335-497F-BB78-0C05B55D40E0}" srcOrd="0" destOrd="0" presId="urn:microsoft.com/office/officeart/2005/8/layout/orgChart1"/>
    <dgm:cxn modelId="{5E00F6B8-CA9F-447D-9161-91B373D2451F}" type="presOf" srcId="{696E34BA-F3AC-40CD-8B0D-7D1CDF2136B8}" destId="{8E81C1C7-33A0-4CCE-ACDF-38E9598FB44B}" srcOrd="0" destOrd="0" presId="urn:microsoft.com/office/officeart/2005/8/layout/orgChart1"/>
    <dgm:cxn modelId="{1ECDEC97-2F00-4DC3-A233-9CE9A13684F4}" type="presOf" srcId="{77BADBE9-4797-4D1B-8276-5E6162125DB6}" destId="{550B1254-A081-40EA-9261-99BFA5788F90}" srcOrd="0" destOrd="0" presId="urn:microsoft.com/office/officeart/2005/8/layout/orgChart1"/>
    <dgm:cxn modelId="{0D765636-C3B8-4867-A873-E6A37EABBABA}" type="presOf" srcId="{1E6928E6-EEBC-4B72-97B4-D401F02E01D7}" destId="{EEB7BD1E-E081-4861-B8E6-401CC39D1060}" srcOrd="0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85C284A7-9D9E-4521-A673-8620E07366D1}" type="presOf" srcId="{2B3C9A25-A82C-4C3E-8612-0F7987210FB6}" destId="{AF87B628-7736-4849-9581-2239DCEEF6C8}" srcOrd="0" destOrd="0" presId="urn:microsoft.com/office/officeart/2005/8/layout/orgChart1"/>
    <dgm:cxn modelId="{43FCFFFC-F8B7-4168-A95C-31D52E4001F4}" type="presOf" srcId="{4EA0C797-5B33-4143-BEE5-4A5522417D83}" destId="{AB40AAAF-F9FE-479F-A9D7-B2C61A40C07C}" srcOrd="0" destOrd="0" presId="urn:microsoft.com/office/officeart/2005/8/layout/orgChart1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6F9F4113-23B5-42C6-AB87-845D59302696}" type="presOf" srcId="{F701A75C-B4E2-4E53-97B1-2F85FF93C8B8}" destId="{51BAF781-D603-4AB1-8570-22C5F0EA6980}" srcOrd="1" destOrd="0" presId="urn:microsoft.com/office/officeart/2005/8/layout/orgChart1"/>
    <dgm:cxn modelId="{01A95298-6D5E-4684-95D4-D1240404ECCC}" type="presOf" srcId="{19E6074C-BD63-4930-A338-F846BBB05C2B}" destId="{4B95EC8B-0FF2-44D1-ACD3-64C8079F1AAD}" srcOrd="1" destOrd="0" presId="urn:microsoft.com/office/officeart/2005/8/layout/orgChart1"/>
    <dgm:cxn modelId="{0ADD3C16-624E-458E-825F-F374FF49BBAF}" type="presOf" srcId="{5A8DA64F-F84C-4220-8391-C81A900DC96B}" destId="{31FD8EBA-8BB6-452F-BF9E-3BBCCF66DFDD}" srcOrd="0" destOrd="0" presId="urn:microsoft.com/office/officeart/2005/8/layout/orgChart1"/>
    <dgm:cxn modelId="{1F4C4017-B669-44D0-AE57-8B6152F513B5}" type="presOf" srcId="{9D16222B-F5DB-40ED-B3C8-A9F34D0AC614}" destId="{243F5000-5E77-4280-AE5F-909D9AC77FD4}" srcOrd="1" destOrd="0" presId="urn:microsoft.com/office/officeart/2005/8/layout/orgChart1"/>
    <dgm:cxn modelId="{8EB41BB4-61CB-4968-B309-D0F2770CC6D2}" type="presOf" srcId="{5AFE989E-76E6-4CE6-A8F6-A24A29C8BD80}" destId="{6569EE75-40F0-4D36-B570-85D4538BC615}" srcOrd="1" destOrd="0" presId="urn:microsoft.com/office/officeart/2005/8/layout/orgChart1"/>
    <dgm:cxn modelId="{47F26907-FB19-47DA-A532-0C863B385F8B}" type="presOf" srcId="{E14C1E79-E3E7-4449-AC97-1C180CA06841}" destId="{7B789DDF-09A4-44E9-AF6F-E8384A7F5278}" srcOrd="1" destOrd="0" presId="urn:microsoft.com/office/officeart/2005/8/layout/orgChart1"/>
    <dgm:cxn modelId="{D7CB4796-B75A-409F-81CC-D34B1949FC8B}" type="presOf" srcId="{1A45CDF7-94FB-4BEB-8B02-D898F5A11627}" destId="{CE97B355-1115-47FC-970A-840F120F66ED}" srcOrd="0" destOrd="0" presId="urn:microsoft.com/office/officeart/2005/8/layout/orgChart1"/>
    <dgm:cxn modelId="{7F3BEC37-B1CF-4672-AEF7-0F73F3C98026}" type="presOf" srcId="{7CD146B7-2A7F-445D-A635-FC853089A5E5}" destId="{F6CB3070-0DED-452F-812E-B9532D4C40A1}" srcOrd="1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4B7A36CC-44EA-42D4-B375-909BB48A5F28}" type="presOf" srcId="{A437E616-98B4-465C-8ACE-414B678E81A3}" destId="{DB9638A1-9E19-4BAE-B7C4-EA36BC1404A3}" srcOrd="0" destOrd="0" presId="urn:microsoft.com/office/officeart/2005/8/layout/orgChart1"/>
    <dgm:cxn modelId="{E50A687F-09DD-4487-B52A-4D69EC2F74A8}" type="presOf" srcId="{C2CF921B-8A27-4396-8874-5FE8DFF470FB}" destId="{D3B638F8-BC6E-4419-849D-0FDBB0EAE7B1}" srcOrd="1" destOrd="0" presId="urn:microsoft.com/office/officeart/2005/8/layout/orgChart1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8EE3D57A-868D-40E3-B23F-3BE0DFFCD9E9}" type="presOf" srcId="{C0A5F317-DA60-4E59-9651-89D45D7090B6}" destId="{78AB6DC8-6EF0-42CA-AD9A-4582105B0AA1}" srcOrd="1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645C494C-EBBE-4F0A-8930-A9C1428467F5}" type="presOf" srcId="{9F2AB3DD-5668-4BB5-8FC7-6C317CA554D3}" destId="{60DDDFFA-5263-4E48-A687-7892B96052DF}" srcOrd="0" destOrd="0" presId="urn:microsoft.com/office/officeart/2005/8/layout/orgChart1"/>
    <dgm:cxn modelId="{105F0795-64A4-4E89-B25D-A6A905D02C69}" type="presOf" srcId="{1A45CDF7-94FB-4BEB-8B02-D898F5A11627}" destId="{64FBF046-D76F-4F7E-AEEE-9A0006CD5B44}" srcOrd="1" destOrd="0" presId="urn:microsoft.com/office/officeart/2005/8/layout/orgChart1"/>
    <dgm:cxn modelId="{37146626-A96B-4737-86E5-9AF3C1C0EA16}" type="presOf" srcId="{05510903-D76F-431F-9174-F56EB1177B68}" destId="{B306CD72-E946-4507-AE97-809FCCF45345}" srcOrd="0" destOrd="0" presId="urn:microsoft.com/office/officeart/2005/8/layout/orgChart1"/>
    <dgm:cxn modelId="{0DD6083C-42AD-4E7B-A0E5-ADCFAAD78AA7}" type="presOf" srcId="{01577F5E-AFF3-453C-8C90-02FF2319B32A}" destId="{1FC24197-B7BE-4843-8114-A0070BAEEE1F}" srcOrd="1" destOrd="0" presId="urn:microsoft.com/office/officeart/2005/8/layout/orgChart1"/>
    <dgm:cxn modelId="{425E3FCF-40E7-4C35-868F-DE2F9BA57300}" type="presOf" srcId="{BC208C9E-EDA9-439C-B461-186B4B02D7AD}" destId="{C96EB4A8-4DD8-4140-AD55-747E9DA56136}" srcOrd="1" destOrd="0" presId="urn:microsoft.com/office/officeart/2005/8/layout/orgChart1"/>
    <dgm:cxn modelId="{C655BB29-A091-4625-A4B7-EAE2F605D1DA}" type="presOf" srcId="{9DDD8AD1-5029-406D-9AE5-F5DDACCA33EF}" destId="{F82EC309-E1E9-46E8-B3C2-328C1172141F}" srcOrd="0" destOrd="0" presId="urn:microsoft.com/office/officeart/2005/8/layout/orgChart1"/>
    <dgm:cxn modelId="{8770C202-806F-4639-9E56-5B4A098FA733}" type="presOf" srcId="{B015A94D-E508-4B2D-8C71-01384FBEC907}" destId="{3DD5D143-9940-41A3-BE83-E0FA4B219059}" srcOrd="0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3E4DBE8F-CEC4-448B-80D6-16099081615E}" type="presOf" srcId="{6A8B76AE-E2FF-4AC3-A5A5-A0D976D9A097}" destId="{D5F55A6D-6EEB-49EA-96B8-12779CEA2843}" srcOrd="0" destOrd="0" presId="urn:microsoft.com/office/officeart/2005/8/layout/orgChart1"/>
    <dgm:cxn modelId="{1A8FC08E-44B3-4F0E-A926-64D11407EB9E}" type="presOf" srcId="{D20DDB9E-057E-429E-BD83-249C21CD0796}" destId="{FAF32629-F211-4DFF-AE9E-1D5CDF99615D}" srcOrd="0" destOrd="0" presId="urn:microsoft.com/office/officeart/2005/8/layout/orgChart1"/>
    <dgm:cxn modelId="{E093F600-DF5D-4E04-901E-B84EEF1B88E7}" type="presOf" srcId="{9D16222B-F5DB-40ED-B3C8-A9F34D0AC614}" destId="{6FBA7E22-EF13-41B2-AF6D-A58A75C25D9F}" srcOrd="0" destOrd="0" presId="urn:microsoft.com/office/officeart/2005/8/layout/orgChart1"/>
    <dgm:cxn modelId="{CF773105-0200-41E8-99AA-7CFA3267C686}" type="presOf" srcId="{F231FBA4-89EB-4261-96C2-AE85A1421667}" destId="{0E95A038-D674-4635-A284-09AB970CECB0}" srcOrd="0" destOrd="0" presId="urn:microsoft.com/office/officeart/2005/8/layout/orgChart1"/>
    <dgm:cxn modelId="{947246D4-FADC-431E-949E-B652410B1EE4}" type="presOf" srcId="{C7542D81-C641-447E-B8E4-A2CBE8AC90DA}" destId="{F12B0F5A-BC3B-49F8-BF7C-8FACD646A91E}" srcOrd="0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97CB4F83-BD3D-469E-97D2-96F7E866E86A}" type="presOf" srcId="{C2CF921B-8A27-4396-8874-5FE8DFF470FB}" destId="{32F3B3E3-90AA-4117-A0DD-C316CCC776D9}" srcOrd="0" destOrd="0" presId="urn:microsoft.com/office/officeart/2005/8/layout/orgChart1"/>
    <dgm:cxn modelId="{151DC4CF-028E-4DCB-B5BF-3237E7A25689}" type="presOf" srcId="{99D8633B-CB9A-4B76-A501-F2F14E063374}" destId="{B7B60229-B31B-466D-A231-34D17A86FE6E}" srcOrd="0" destOrd="0" presId="urn:microsoft.com/office/officeart/2005/8/layout/orgChart1"/>
    <dgm:cxn modelId="{BF3B7DCD-F142-4769-9D7B-AF620E11FDF1}" type="presOf" srcId="{32137897-242A-4D51-8056-18527089F0A0}" destId="{E12A46A0-7EC8-4FA4-A665-FE08119E67E2}" srcOrd="0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78657EED-597A-42DC-8B5C-8453E02C501A}" type="presOf" srcId="{A128BAC4-E41A-4C32-8FFA-5601A5BB625D}" destId="{14EDE913-E441-44ED-BEB2-FDC20BB82B8D}" srcOrd="1" destOrd="0" presId="urn:microsoft.com/office/officeart/2005/8/layout/orgChart1"/>
    <dgm:cxn modelId="{3C38A548-D8F4-4E91-BDD0-03D82D825440}" type="presOf" srcId="{01577F5E-AFF3-453C-8C90-02FF2319B32A}" destId="{20CB9222-7357-4EF5-9927-FF9758B862B9}" srcOrd="0" destOrd="0" presId="urn:microsoft.com/office/officeart/2005/8/layout/orgChart1"/>
    <dgm:cxn modelId="{0C2D7ED0-A0E1-4D99-AF13-AAC2CC5362BD}" type="presParOf" srcId="{03D4A651-4637-4C10-A0F8-C70CAC8B5DA2}" destId="{95813CA5-1096-4969-BF3E-500735FBBEA9}" srcOrd="0" destOrd="0" presId="urn:microsoft.com/office/officeart/2005/8/layout/orgChart1"/>
    <dgm:cxn modelId="{20F4C8F7-3E57-45EF-BECC-0FEB646B4D6B}" type="presParOf" srcId="{95813CA5-1096-4969-BF3E-500735FBBEA9}" destId="{676C82D8-F63E-4A58-90A3-38AE98D79ADE}" srcOrd="0" destOrd="0" presId="urn:microsoft.com/office/officeart/2005/8/layout/orgChart1"/>
    <dgm:cxn modelId="{EF2FDAFC-7161-470D-A6BC-8A0616BCF71F}" type="presParOf" srcId="{676C82D8-F63E-4A58-90A3-38AE98D79ADE}" destId="{32F3B3E3-90AA-4117-A0DD-C316CCC776D9}" srcOrd="0" destOrd="0" presId="urn:microsoft.com/office/officeart/2005/8/layout/orgChart1"/>
    <dgm:cxn modelId="{FADCFCB2-4CDB-489C-B505-7A530781CFBA}" type="presParOf" srcId="{676C82D8-F63E-4A58-90A3-38AE98D79ADE}" destId="{D3B638F8-BC6E-4419-849D-0FDBB0EAE7B1}" srcOrd="1" destOrd="0" presId="urn:microsoft.com/office/officeart/2005/8/layout/orgChart1"/>
    <dgm:cxn modelId="{69E2A531-44CF-452C-BB87-881D9C13F6D6}" type="presParOf" srcId="{95813CA5-1096-4969-BF3E-500735FBBEA9}" destId="{912E49B9-6BBD-4307-9872-E5FB95FFEDB7}" srcOrd="1" destOrd="0" presId="urn:microsoft.com/office/officeart/2005/8/layout/orgChart1"/>
    <dgm:cxn modelId="{4E054134-160F-435D-9CB6-3B1908FE1F07}" type="presParOf" srcId="{912E49B9-6BBD-4307-9872-E5FB95FFEDB7}" destId="{0E95A038-D674-4635-A284-09AB970CECB0}" srcOrd="0" destOrd="0" presId="urn:microsoft.com/office/officeart/2005/8/layout/orgChart1"/>
    <dgm:cxn modelId="{01028944-B68B-48C8-B5C7-93BA2C274E31}" type="presParOf" srcId="{912E49B9-6BBD-4307-9872-E5FB95FFEDB7}" destId="{A002D905-598A-41F8-BD57-A1D1C0A9A615}" srcOrd="1" destOrd="0" presId="urn:microsoft.com/office/officeart/2005/8/layout/orgChart1"/>
    <dgm:cxn modelId="{03429C2D-6024-4077-BADB-D931586DC08A}" type="presParOf" srcId="{A002D905-598A-41F8-BD57-A1D1C0A9A615}" destId="{39196664-3515-4B0D-8D6C-E3BE1BF82900}" srcOrd="0" destOrd="0" presId="urn:microsoft.com/office/officeart/2005/8/layout/orgChart1"/>
    <dgm:cxn modelId="{222AB6E3-BD4B-4170-AD67-ED834E2B58CA}" type="presParOf" srcId="{39196664-3515-4B0D-8D6C-E3BE1BF82900}" destId="{8C9A55A0-6D7A-4F1F-9C4E-00667306AB3E}" srcOrd="0" destOrd="0" presId="urn:microsoft.com/office/officeart/2005/8/layout/orgChart1"/>
    <dgm:cxn modelId="{2719319F-9133-4C5D-A22A-AB86ECDBFECB}" type="presParOf" srcId="{39196664-3515-4B0D-8D6C-E3BE1BF82900}" destId="{444C1323-A1CB-4D02-9B8B-ED7B0DD6CD66}" srcOrd="1" destOrd="0" presId="urn:microsoft.com/office/officeart/2005/8/layout/orgChart1"/>
    <dgm:cxn modelId="{1839E4AC-C0B1-4D8F-A00E-D29407927050}" type="presParOf" srcId="{A002D905-598A-41F8-BD57-A1D1C0A9A615}" destId="{F3FE0506-ED96-42DB-ABC4-0A3519AF88F2}" srcOrd="1" destOrd="0" presId="urn:microsoft.com/office/officeart/2005/8/layout/orgChart1"/>
    <dgm:cxn modelId="{90214B5C-371C-4594-B59D-C8CF8723AD23}" type="presParOf" srcId="{F3FE0506-ED96-42DB-ABC4-0A3519AF88F2}" destId="{E12A46A0-7EC8-4FA4-A665-FE08119E67E2}" srcOrd="0" destOrd="0" presId="urn:microsoft.com/office/officeart/2005/8/layout/orgChart1"/>
    <dgm:cxn modelId="{EA791AE0-35F0-4761-897F-70FE342B9A81}" type="presParOf" srcId="{F3FE0506-ED96-42DB-ABC4-0A3519AF88F2}" destId="{1654ED03-19D3-45CD-A3C8-5E5D4D48E6EC}" srcOrd="1" destOrd="0" presId="urn:microsoft.com/office/officeart/2005/8/layout/orgChart1"/>
    <dgm:cxn modelId="{EF039DBE-FBEF-4373-AECE-390F7B75A331}" type="presParOf" srcId="{1654ED03-19D3-45CD-A3C8-5E5D4D48E6EC}" destId="{4BE59136-7F13-46FC-8DC7-9264B0A36F30}" srcOrd="0" destOrd="0" presId="urn:microsoft.com/office/officeart/2005/8/layout/orgChart1"/>
    <dgm:cxn modelId="{B91E81AD-75D8-4C3B-8793-83250818BA85}" type="presParOf" srcId="{4BE59136-7F13-46FC-8DC7-9264B0A36F30}" destId="{FAF32629-F211-4DFF-AE9E-1D5CDF99615D}" srcOrd="0" destOrd="0" presId="urn:microsoft.com/office/officeart/2005/8/layout/orgChart1"/>
    <dgm:cxn modelId="{2B4DA2B2-0C25-4021-9999-D87838112C1D}" type="presParOf" srcId="{4BE59136-7F13-46FC-8DC7-9264B0A36F30}" destId="{FBF8A7DF-3AD3-4699-BE01-3BBF6CF6F9C6}" srcOrd="1" destOrd="0" presId="urn:microsoft.com/office/officeart/2005/8/layout/orgChart1"/>
    <dgm:cxn modelId="{4082B45D-46B8-4A78-8A3B-FD5F86D3436A}" type="presParOf" srcId="{1654ED03-19D3-45CD-A3C8-5E5D4D48E6EC}" destId="{F82DC55F-8A7D-479E-A60C-E77B726C42B8}" srcOrd="1" destOrd="0" presId="urn:microsoft.com/office/officeart/2005/8/layout/orgChart1"/>
    <dgm:cxn modelId="{30634D44-D6D4-456D-9088-109264307218}" type="presParOf" srcId="{F82DC55F-8A7D-479E-A60C-E77B726C42B8}" destId="{F82EC309-E1E9-46E8-B3C2-328C1172141F}" srcOrd="0" destOrd="0" presId="urn:microsoft.com/office/officeart/2005/8/layout/orgChart1"/>
    <dgm:cxn modelId="{79A84017-F25F-45E7-BFE3-9407922651DA}" type="presParOf" srcId="{F82DC55F-8A7D-479E-A60C-E77B726C42B8}" destId="{43A39D68-BD10-4CDE-9202-31214C54A3B5}" srcOrd="1" destOrd="0" presId="urn:microsoft.com/office/officeart/2005/8/layout/orgChart1"/>
    <dgm:cxn modelId="{67B01614-FC92-4E00-8384-F64A9EE87D4B}" type="presParOf" srcId="{43A39D68-BD10-4CDE-9202-31214C54A3B5}" destId="{B0AE5047-DF85-47E7-8D70-CF6709F7122A}" srcOrd="0" destOrd="0" presId="urn:microsoft.com/office/officeart/2005/8/layout/orgChart1"/>
    <dgm:cxn modelId="{417F71F0-3CFD-43B6-8030-24FF5B1AA0AC}" type="presParOf" srcId="{B0AE5047-DF85-47E7-8D70-CF6709F7122A}" destId="{A69DD711-0D99-4DC1-B7EC-92666E0E809B}" srcOrd="0" destOrd="0" presId="urn:microsoft.com/office/officeart/2005/8/layout/orgChart1"/>
    <dgm:cxn modelId="{BFED7382-94A0-4162-8F7B-5E19DB923D88}" type="presParOf" srcId="{B0AE5047-DF85-47E7-8D70-CF6709F7122A}" destId="{51BAF781-D603-4AB1-8570-22C5F0EA6980}" srcOrd="1" destOrd="0" presId="urn:microsoft.com/office/officeart/2005/8/layout/orgChart1"/>
    <dgm:cxn modelId="{85AEB2D8-1F01-478B-BA50-602CF5FA7AE6}" type="presParOf" srcId="{43A39D68-BD10-4CDE-9202-31214C54A3B5}" destId="{4E610FBD-371D-41CC-9B9B-B3189858A172}" srcOrd="1" destOrd="0" presId="urn:microsoft.com/office/officeart/2005/8/layout/orgChart1"/>
    <dgm:cxn modelId="{95EC17D9-B71D-4137-A4F4-CB8B54B2E06D}" type="presParOf" srcId="{4E610FBD-371D-41CC-9B9B-B3189858A172}" destId="{C1A4954A-61EA-4DA0-9E68-591481B052AA}" srcOrd="0" destOrd="0" presId="urn:microsoft.com/office/officeart/2005/8/layout/orgChart1"/>
    <dgm:cxn modelId="{8DC590A3-D756-4089-B011-A785B022DC56}" type="presParOf" srcId="{4E610FBD-371D-41CC-9B9B-B3189858A172}" destId="{F9787EE2-ABD7-4C3D-BE67-A8FE12DE4966}" srcOrd="1" destOrd="0" presId="urn:microsoft.com/office/officeart/2005/8/layout/orgChart1"/>
    <dgm:cxn modelId="{B156F972-3E6F-48A9-B1F4-4097BBBC34A7}" type="presParOf" srcId="{F9787EE2-ABD7-4C3D-BE67-A8FE12DE4966}" destId="{5010BA9A-F31C-4850-AA27-7D1A5B53E046}" srcOrd="0" destOrd="0" presId="urn:microsoft.com/office/officeart/2005/8/layout/orgChart1"/>
    <dgm:cxn modelId="{26150BD0-9BB0-4B12-B75D-571171054964}" type="presParOf" srcId="{5010BA9A-F31C-4850-AA27-7D1A5B53E046}" destId="{E15A267B-D5AB-4DA2-B9C4-BDD524C350FC}" srcOrd="0" destOrd="0" presId="urn:microsoft.com/office/officeart/2005/8/layout/orgChart1"/>
    <dgm:cxn modelId="{011E284D-0542-4F2A-8A22-1FE5536107DC}" type="presParOf" srcId="{5010BA9A-F31C-4850-AA27-7D1A5B53E046}" destId="{81ADB44E-CE97-40B6-A22F-7F5A8F1499FB}" srcOrd="1" destOrd="0" presId="urn:microsoft.com/office/officeart/2005/8/layout/orgChart1"/>
    <dgm:cxn modelId="{FED1964F-D04B-48BB-A9C2-53A04D5DEA07}" type="presParOf" srcId="{F9787EE2-ABD7-4C3D-BE67-A8FE12DE4966}" destId="{A4FFDCC3-CC04-4C3E-97A5-F6EF01FBF287}" srcOrd="1" destOrd="0" presId="urn:microsoft.com/office/officeart/2005/8/layout/orgChart1"/>
    <dgm:cxn modelId="{0614AFB5-C369-4FA4-98A7-2C835FC24BCF}" type="presParOf" srcId="{F9787EE2-ABD7-4C3D-BE67-A8FE12DE4966}" destId="{35E66A24-57E3-42F3-ADE0-6DEC562D36A1}" srcOrd="2" destOrd="0" presId="urn:microsoft.com/office/officeart/2005/8/layout/orgChart1"/>
    <dgm:cxn modelId="{E3423CAE-20AA-461D-AF02-1414D8832803}" type="presParOf" srcId="{4E610FBD-371D-41CC-9B9B-B3189858A172}" destId="{8E81C1C7-33A0-4CCE-ACDF-38E9598FB44B}" srcOrd="2" destOrd="0" presId="urn:microsoft.com/office/officeart/2005/8/layout/orgChart1"/>
    <dgm:cxn modelId="{300FF641-3711-4025-BA79-908F7B47C569}" type="presParOf" srcId="{4E610FBD-371D-41CC-9B9B-B3189858A172}" destId="{AF1924B0-E9B5-4223-BD29-554FCFB0C900}" srcOrd="3" destOrd="0" presId="urn:microsoft.com/office/officeart/2005/8/layout/orgChart1"/>
    <dgm:cxn modelId="{853A524F-6E81-437B-9B60-648BDC8680A8}" type="presParOf" srcId="{AF1924B0-E9B5-4223-BD29-554FCFB0C900}" destId="{E7498465-7733-4EBD-893F-85FECB955D48}" srcOrd="0" destOrd="0" presId="urn:microsoft.com/office/officeart/2005/8/layout/orgChart1"/>
    <dgm:cxn modelId="{DB33156C-9E29-4F2A-8842-7186F72453AB}" type="presParOf" srcId="{E7498465-7733-4EBD-893F-85FECB955D48}" destId="{8CC87127-6C05-407E-9663-0CA8789ABCB6}" srcOrd="0" destOrd="0" presId="urn:microsoft.com/office/officeart/2005/8/layout/orgChart1"/>
    <dgm:cxn modelId="{CAEA0745-D9BE-446E-841C-0CA712368470}" type="presParOf" srcId="{E7498465-7733-4EBD-893F-85FECB955D48}" destId="{78AB6DC8-6EF0-42CA-AD9A-4582105B0AA1}" srcOrd="1" destOrd="0" presId="urn:microsoft.com/office/officeart/2005/8/layout/orgChart1"/>
    <dgm:cxn modelId="{BA2D4E04-EB64-43F4-AA9E-0FEB16B760E5}" type="presParOf" srcId="{AF1924B0-E9B5-4223-BD29-554FCFB0C900}" destId="{54DFDB76-55CF-4BF8-A2F4-B54A01B9435E}" srcOrd="1" destOrd="0" presId="urn:microsoft.com/office/officeart/2005/8/layout/orgChart1"/>
    <dgm:cxn modelId="{080F2ACF-3243-4E9F-B262-43399EAF8FA5}" type="presParOf" srcId="{AF1924B0-E9B5-4223-BD29-554FCFB0C900}" destId="{1E097399-C003-40AC-9CDA-B294930E063A}" srcOrd="2" destOrd="0" presId="urn:microsoft.com/office/officeart/2005/8/layout/orgChart1"/>
    <dgm:cxn modelId="{F7918486-6BB5-47D4-A79C-E2B0C60D7398}" type="presParOf" srcId="{43A39D68-BD10-4CDE-9202-31214C54A3B5}" destId="{BCAC3711-2502-422E-906F-54FE3CF826A1}" srcOrd="2" destOrd="0" presId="urn:microsoft.com/office/officeart/2005/8/layout/orgChart1"/>
    <dgm:cxn modelId="{DF47F4E5-1429-48E2-AC8B-6FDB79704315}" type="presParOf" srcId="{F82DC55F-8A7D-479E-A60C-E77B726C42B8}" destId="{B7B60229-B31B-466D-A231-34D17A86FE6E}" srcOrd="2" destOrd="0" presId="urn:microsoft.com/office/officeart/2005/8/layout/orgChart1"/>
    <dgm:cxn modelId="{0257CCE9-597F-4A92-BF2A-1699757411BC}" type="presParOf" srcId="{F82DC55F-8A7D-479E-A60C-E77B726C42B8}" destId="{02080DF7-139D-408F-B73D-60D6848F072F}" srcOrd="3" destOrd="0" presId="urn:microsoft.com/office/officeart/2005/8/layout/orgChart1"/>
    <dgm:cxn modelId="{2B7AF5D4-80BB-4979-B977-426CB17B8A31}" type="presParOf" srcId="{02080DF7-139D-408F-B73D-60D6848F072F}" destId="{F35BA7CE-7BAF-414B-9F01-1EC5673BDE52}" srcOrd="0" destOrd="0" presId="urn:microsoft.com/office/officeart/2005/8/layout/orgChart1"/>
    <dgm:cxn modelId="{F9F94438-A8A8-41CD-9828-3C7F6B21B727}" type="presParOf" srcId="{F35BA7CE-7BAF-414B-9F01-1EC5673BDE52}" destId="{535AC6FF-B8E3-45ED-9488-795E2538EE85}" srcOrd="0" destOrd="0" presId="urn:microsoft.com/office/officeart/2005/8/layout/orgChart1"/>
    <dgm:cxn modelId="{F778D17B-E361-448E-A898-A0131E535763}" type="presParOf" srcId="{F35BA7CE-7BAF-414B-9F01-1EC5673BDE52}" destId="{7B789DDF-09A4-44E9-AF6F-E8384A7F5278}" srcOrd="1" destOrd="0" presId="urn:microsoft.com/office/officeart/2005/8/layout/orgChart1"/>
    <dgm:cxn modelId="{4E57B797-1FFC-4758-AADC-FFECCCAFDA6D}" type="presParOf" srcId="{02080DF7-139D-408F-B73D-60D6848F072F}" destId="{C2B10A81-B7E6-4747-B26C-3AA347DC8740}" srcOrd="1" destOrd="0" presId="urn:microsoft.com/office/officeart/2005/8/layout/orgChart1"/>
    <dgm:cxn modelId="{1BA38C3B-8104-456F-A5D3-7D4B7ED12333}" type="presParOf" srcId="{02080DF7-139D-408F-B73D-60D6848F072F}" destId="{FE23D20B-47FE-43E3-B80B-CAABC710A1B2}" srcOrd="2" destOrd="0" presId="urn:microsoft.com/office/officeart/2005/8/layout/orgChart1"/>
    <dgm:cxn modelId="{1A3D3935-3E90-4742-8056-4E73D61AA2EC}" type="presParOf" srcId="{1654ED03-19D3-45CD-A3C8-5E5D4D48E6EC}" destId="{DFA6FA9F-E16F-4D37-8A06-4F29DDD0C065}" srcOrd="2" destOrd="0" presId="urn:microsoft.com/office/officeart/2005/8/layout/orgChart1"/>
    <dgm:cxn modelId="{FC5B211B-0DAD-45F2-A50F-94D082DE2DD0}" type="presParOf" srcId="{F3FE0506-ED96-42DB-ABC4-0A3519AF88F2}" destId="{D5F55A6D-6EEB-49EA-96B8-12779CEA2843}" srcOrd="2" destOrd="0" presId="urn:microsoft.com/office/officeart/2005/8/layout/orgChart1"/>
    <dgm:cxn modelId="{99B5DBA4-470A-4533-8FB4-334C2E201212}" type="presParOf" srcId="{F3FE0506-ED96-42DB-ABC4-0A3519AF88F2}" destId="{713634D5-9CC5-4C34-A059-E867A0257B56}" srcOrd="3" destOrd="0" presId="urn:microsoft.com/office/officeart/2005/8/layout/orgChart1"/>
    <dgm:cxn modelId="{014FF015-667A-48D0-89DC-985B4B52B6D1}" type="presParOf" srcId="{713634D5-9CC5-4C34-A059-E867A0257B56}" destId="{C9BC1E7B-FBD4-4C70-9409-81E6D96C571C}" srcOrd="0" destOrd="0" presId="urn:microsoft.com/office/officeart/2005/8/layout/orgChart1"/>
    <dgm:cxn modelId="{50DFEDCF-09C1-4437-8E4C-1F0E72645F36}" type="presParOf" srcId="{C9BC1E7B-FBD4-4C70-9409-81E6D96C571C}" destId="{701B1D33-D4F5-49A8-A42B-7FC86315AE8D}" srcOrd="0" destOrd="0" presId="urn:microsoft.com/office/officeart/2005/8/layout/orgChart1"/>
    <dgm:cxn modelId="{EE5DB5FB-BDE9-4B4A-BE77-55675DC2B924}" type="presParOf" srcId="{C9BC1E7B-FBD4-4C70-9409-81E6D96C571C}" destId="{C96EB4A8-4DD8-4140-AD55-747E9DA56136}" srcOrd="1" destOrd="0" presId="urn:microsoft.com/office/officeart/2005/8/layout/orgChart1"/>
    <dgm:cxn modelId="{C5AFDD92-8C86-4D3D-B698-E1F5FCF90501}" type="presParOf" srcId="{713634D5-9CC5-4C34-A059-E867A0257B56}" destId="{0B65893E-677D-4291-AB5B-23034533E1E3}" srcOrd="1" destOrd="0" presId="urn:microsoft.com/office/officeart/2005/8/layout/orgChart1"/>
    <dgm:cxn modelId="{257DE1A0-1D79-4CD5-B2C4-E996B5E3BC81}" type="presParOf" srcId="{0B65893E-677D-4291-AB5B-23034533E1E3}" destId="{EEB7BD1E-E081-4861-B8E6-401CC39D1060}" srcOrd="0" destOrd="0" presId="urn:microsoft.com/office/officeart/2005/8/layout/orgChart1"/>
    <dgm:cxn modelId="{92C73410-EE77-41E9-B0C6-5B0FEDFCF474}" type="presParOf" srcId="{0B65893E-677D-4291-AB5B-23034533E1E3}" destId="{91D25738-30FA-4C05-91FB-5BB1210C7376}" srcOrd="1" destOrd="0" presId="urn:microsoft.com/office/officeart/2005/8/layout/orgChart1"/>
    <dgm:cxn modelId="{5F76442A-4740-4401-83DB-08BD206B350C}" type="presParOf" srcId="{91D25738-30FA-4C05-91FB-5BB1210C7376}" destId="{89796F00-AD3F-48DA-8A4B-A39294507672}" srcOrd="0" destOrd="0" presId="urn:microsoft.com/office/officeart/2005/8/layout/orgChart1"/>
    <dgm:cxn modelId="{3B37A72E-E4A6-4365-BE72-18881095897A}" type="presParOf" srcId="{89796F00-AD3F-48DA-8A4B-A39294507672}" destId="{AF266A8A-FC54-4DBB-A754-EE8F6543A118}" srcOrd="0" destOrd="0" presId="urn:microsoft.com/office/officeart/2005/8/layout/orgChart1"/>
    <dgm:cxn modelId="{36D381A9-A059-4B09-9180-8B495BE74490}" type="presParOf" srcId="{89796F00-AD3F-48DA-8A4B-A39294507672}" destId="{7E847D16-094D-4D5C-B7D0-F3EF4C35A99C}" srcOrd="1" destOrd="0" presId="urn:microsoft.com/office/officeart/2005/8/layout/orgChart1"/>
    <dgm:cxn modelId="{3C6C7E9B-471D-4CAA-9CC6-3D9C85D00594}" type="presParOf" srcId="{91D25738-30FA-4C05-91FB-5BB1210C7376}" destId="{84A3B5A2-6198-40CD-969E-2613A63AA572}" srcOrd="1" destOrd="0" presId="urn:microsoft.com/office/officeart/2005/8/layout/orgChart1"/>
    <dgm:cxn modelId="{A5DA0EE2-A4AF-4954-BF24-D852DD3F3657}" type="presParOf" srcId="{84A3B5A2-6198-40CD-969E-2613A63AA572}" destId="{2BF56B70-99CB-4613-A96B-BC2C3F85F6F1}" srcOrd="0" destOrd="0" presId="urn:microsoft.com/office/officeart/2005/8/layout/orgChart1"/>
    <dgm:cxn modelId="{A48641FE-CC17-4E49-BF38-156DA54C3131}" type="presParOf" srcId="{84A3B5A2-6198-40CD-969E-2613A63AA572}" destId="{EC7AC801-A124-4E1B-85BD-EC83F1858E78}" srcOrd="1" destOrd="0" presId="urn:microsoft.com/office/officeart/2005/8/layout/orgChart1"/>
    <dgm:cxn modelId="{C126934B-7731-423E-999B-9490C7125B0A}" type="presParOf" srcId="{EC7AC801-A124-4E1B-85BD-EC83F1858E78}" destId="{EB4598DA-C60E-4471-A5BF-BD591F7AE4D8}" srcOrd="0" destOrd="0" presId="urn:microsoft.com/office/officeart/2005/8/layout/orgChart1"/>
    <dgm:cxn modelId="{AAF32B12-7514-4D80-A5D7-EAD35D5588D8}" type="presParOf" srcId="{EB4598DA-C60E-4471-A5BF-BD591F7AE4D8}" destId="{20CB9222-7357-4EF5-9927-FF9758B862B9}" srcOrd="0" destOrd="0" presId="urn:microsoft.com/office/officeart/2005/8/layout/orgChart1"/>
    <dgm:cxn modelId="{A84F0B7D-A166-4F64-872D-6AB054A0F01B}" type="presParOf" srcId="{EB4598DA-C60E-4471-A5BF-BD591F7AE4D8}" destId="{1FC24197-B7BE-4843-8114-A0070BAEEE1F}" srcOrd="1" destOrd="0" presId="urn:microsoft.com/office/officeart/2005/8/layout/orgChart1"/>
    <dgm:cxn modelId="{B8539AB3-54EB-4648-B4B1-F92E7AFCAD50}" type="presParOf" srcId="{EC7AC801-A124-4E1B-85BD-EC83F1858E78}" destId="{A964199A-9CCE-40DB-8BB1-59E3E03A937D}" srcOrd="1" destOrd="0" presId="urn:microsoft.com/office/officeart/2005/8/layout/orgChart1"/>
    <dgm:cxn modelId="{DEA1CB79-3D3E-4DD0-B508-26AB2B23D9F5}" type="presParOf" srcId="{A964199A-9CCE-40DB-8BB1-59E3E03A937D}" destId="{826886F3-E1E7-46E5-90EC-273B4EAFA989}" srcOrd="0" destOrd="0" presId="urn:microsoft.com/office/officeart/2005/8/layout/orgChart1"/>
    <dgm:cxn modelId="{60C4B376-240A-4D93-9E63-57AF7EC4608D}" type="presParOf" srcId="{A964199A-9CCE-40DB-8BB1-59E3E03A937D}" destId="{C883A000-489B-4E82-B9AB-4399CA79FF3A}" srcOrd="1" destOrd="0" presId="urn:microsoft.com/office/officeart/2005/8/layout/orgChart1"/>
    <dgm:cxn modelId="{CAEB0981-7D6C-463A-9A4E-59984EDAC75C}" type="presParOf" srcId="{C883A000-489B-4E82-B9AB-4399CA79FF3A}" destId="{3DA9E0D9-04A6-4F1D-A27A-A50E013C1D8F}" srcOrd="0" destOrd="0" presId="urn:microsoft.com/office/officeart/2005/8/layout/orgChart1"/>
    <dgm:cxn modelId="{C9DCC81D-FA3E-4DFC-8123-70130A3A423A}" type="presParOf" srcId="{3DA9E0D9-04A6-4F1D-A27A-A50E013C1D8F}" destId="{8AD22405-7541-4CDC-9D40-13EA2C884DF8}" srcOrd="0" destOrd="0" presId="urn:microsoft.com/office/officeart/2005/8/layout/orgChart1"/>
    <dgm:cxn modelId="{6BF42D3D-2099-4F32-8760-F38F1C5A9462}" type="presParOf" srcId="{3DA9E0D9-04A6-4F1D-A27A-A50E013C1D8F}" destId="{DF15C0E5-319F-43A5-AA0E-E4B0479F111D}" srcOrd="1" destOrd="0" presId="urn:microsoft.com/office/officeart/2005/8/layout/orgChart1"/>
    <dgm:cxn modelId="{3B01451F-5F6C-44E0-B722-50D3307731DD}" type="presParOf" srcId="{C883A000-489B-4E82-B9AB-4399CA79FF3A}" destId="{8E103B87-3774-4BB2-9C8C-D91AF9D03AC0}" srcOrd="1" destOrd="0" presId="urn:microsoft.com/office/officeart/2005/8/layout/orgChart1"/>
    <dgm:cxn modelId="{13ECB40C-B783-4D34-836F-C14CA203A616}" type="presParOf" srcId="{C883A000-489B-4E82-B9AB-4399CA79FF3A}" destId="{5DFE7F16-4F07-487C-B3CB-9DD6C7278827}" srcOrd="2" destOrd="0" presId="urn:microsoft.com/office/officeart/2005/8/layout/orgChart1"/>
    <dgm:cxn modelId="{CC02E134-04EC-4AB7-868F-8E63028629B8}" type="presParOf" srcId="{A964199A-9CCE-40DB-8BB1-59E3E03A937D}" destId="{DB9638A1-9E19-4BAE-B7C4-EA36BC1404A3}" srcOrd="2" destOrd="0" presId="urn:microsoft.com/office/officeart/2005/8/layout/orgChart1"/>
    <dgm:cxn modelId="{9C031D12-33A9-4F1E-809A-C1C0157D19C4}" type="presParOf" srcId="{A964199A-9CCE-40DB-8BB1-59E3E03A937D}" destId="{5000066D-25F9-4916-AFD0-430AABB609FE}" srcOrd="3" destOrd="0" presId="urn:microsoft.com/office/officeart/2005/8/layout/orgChart1"/>
    <dgm:cxn modelId="{DF491CFD-9807-4407-9D41-9CDA05241B2C}" type="presParOf" srcId="{5000066D-25F9-4916-AFD0-430AABB609FE}" destId="{9EA8EE97-DA47-4EA3-A425-071BD50CC9BC}" srcOrd="0" destOrd="0" presId="urn:microsoft.com/office/officeart/2005/8/layout/orgChart1"/>
    <dgm:cxn modelId="{8D0C6ACA-A004-463E-A4FE-070629F13BE7}" type="presParOf" srcId="{9EA8EE97-DA47-4EA3-A425-071BD50CC9BC}" destId="{6FBA7E22-EF13-41B2-AF6D-A58A75C25D9F}" srcOrd="0" destOrd="0" presId="urn:microsoft.com/office/officeart/2005/8/layout/orgChart1"/>
    <dgm:cxn modelId="{79CB7600-EBAB-49DE-A1BD-2114C31DD089}" type="presParOf" srcId="{9EA8EE97-DA47-4EA3-A425-071BD50CC9BC}" destId="{243F5000-5E77-4280-AE5F-909D9AC77FD4}" srcOrd="1" destOrd="0" presId="urn:microsoft.com/office/officeart/2005/8/layout/orgChart1"/>
    <dgm:cxn modelId="{170A1BE6-A8DA-428A-B52E-0E32D71A7509}" type="presParOf" srcId="{5000066D-25F9-4916-AFD0-430AABB609FE}" destId="{5345B2CE-17A4-46B2-8CF3-DBA65F9BD355}" srcOrd="1" destOrd="0" presId="urn:microsoft.com/office/officeart/2005/8/layout/orgChart1"/>
    <dgm:cxn modelId="{D36A2CD6-0B8C-4087-91C5-74BCC5958D33}" type="presParOf" srcId="{5000066D-25F9-4916-AFD0-430AABB609FE}" destId="{B2BA766A-A454-4640-9E21-1CCB01DC0A74}" srcOrd="2" destOrd="0" presId="urn:microsoft.com/office/officeart/2005/8/layout/orgChart1"/>
    <dgm:cxn modelId="{BCACADCF-D593-4B7B-BE71-D7A0B6B10269}" type="presParOf" srcId="{EC7AC801-A124-4E1B-85BD-EC83F1858E78}" destId="{973DB920-037F-4A8F-8BA3-F81E7F873CD1}" srcOrd="2" destOrd="0" presId="urn:microsoft.com/office/officeart/2005/8/layout/orgChart1"/>
    <dgm:cxn modelId="{3662AA9B-A58F-49D4-AC9F-8F6FA62B265E}" type="presParOf" srcId="{84A3B5A2-6198-40CD-969E-2613A63AA572}" destId="{700AE3C5-9B2D-45AE-9B60-8D47CF2FCBE0}" srcOrd="2" destOrd="0" presId="urn:microsoft.com/office/officeart/2005/8/layout/orgChart1"/>
    <dgm:cxn modelId="{375A0864-DED0-480A-BD12-93CB760C7A5D}" type="presParOf" srcId="{84A3B5A2-6198-40CD-969E-2613A63AA572}" destId="{03F9723E-C635-45EC-9FAD-4A61564971A3}" srcOrd="3" destOrd="0" presId="urn:microsoft.com/office/officeart/2005/8/layout/orgChart1"/>
    <dgm:cxn modelId="{E53E3974-F2AE-4CC0-8C0C-42A5C4F5C7EE}" type="presParOf" srcId="{03F9723E-C635-45EC-9FAD-4A61564971A3}" destId="{1BD4B392-8613-4107-ACD0-3BC6AC461077}" srcOrd="0" destOrd="0" presId="urn:microsoft.com/office/officeart/2005/8/layout/orgChart1"/>
    <dgm:cxn modelId="{602482C2-6493-46E7-89BA-F3FFE5B166DE}" type="presParOf" srcId="{1BD4B392-8613-4107-ACD0-3BC6AC461077}" destId="{D07EFDF8-A445-490F-AF5B-20F1CFAA748F}" srcOrd="0" destOrd="0" presId="urn:microsoft.com/office/officeart/2005/8/layout/orgChart1"/>
    <dgm:cxn modelId="{4AF0A864-DD00-413A-BE28-B048EDB322EB}" type="presParOf" srcId="{1BD4B392-8613-4107-ACD0-3BC6AC461077}" destId="{4B95EC8B-0FF2-44D1-ACD3-64C8079F1AAD}" srcOrd="1" destOrd="0" presId="urn:microsoft.com/office/officeart/2005/8/layout/orgChart1"/>
    <dgm:cxn modelId="{92EA6474-02DC-43D8-8F25-E9C3A63463B6}" type="presParOf" srcId="{03F9723E-C635-45EC-9FAD-4A61564971A3}" destId="{5DC6E7CF-FCEB-4C8E-98AB-F323C40FED06}" srcOrd="1" destOrd="0" presId="urn:microsoft.com/office/officeart/2005/8/layout/orgChart1"/>
    <dgm:cxn modelId="{383293BD-B894-4BE8-877D-B3B48A631D92}" type="presParOf" srcId="{03F9723E-C635-45EC-9FAD-4A61564971A3}" destId="{BB3A5AEA-FA43-4174-8C76-CC1C79D9C1F8}" srcOrd="2" destOrd="0" presId="urn:microsoft.com/office/officeart/2005/8/layout/orgChart1"/>
    <dgm:cxn modelId="{A2E7B128-BD2A-4E6F-A1AA-A8152CC11900}" type="presParOf" srcId="{91D25738-30FA-4C05-91FB-5BB1210C7376}" destId="{0B6EC64A-7026-4507-A45A-8C61ADF82650}" srcOrd="2" destOrd="0" presId="urn:microsoft.com/office/officeart/2005/8/layout/orgChart1"/>
    <dgm:cxn modelId="{2E68EC24-1466-4968-8827-40EE4ED69A90}" type="presParOf" srcId="{0B65893E-677D-4291-AB5B-23034533E1E3}" destId="{31FD8EBA-8BB6-452F-BF9E-3BBCCF66DFDD}" srcOrd="2" destOrd="0" presId="urn:microsoft.com/office/officeart/2005/8/layout/orgChart1"/>
    <dgm:cxn modelId="{5C6641A2-878C-4860-9CA3-358EE97119BF}" type="presParOf" srcId="{0B65893E-677D-4291-AB5B-23034533E1E3}" destId="{68F58860-83B4-436A-AEE3-E5622367AE51}" srcOrd="3" destOrd="0" presId="urn:microsoft.com/office/officeart/2005/8/layout/orgChart1"/>
    <dgm:cxn modelId="{FE7A31C7-2712-4542-8242-B947F23FE99F}" type="presParOf" srcId="{68F58860-83B4-436A-AEE3-E5622367AE51}" destId="{590CE7C1-5D2B-4B13-960E-E6B427699AD5}" srcOrd="0" destOrd="0" presId="urn:microsoft.com/office/officeart/2005/8/layout/orgChart1"/>
    <dgm:cxn modelId="{6EC1F30C-B012-4517-9BE0-5C852AAE4019}" type="presParOf" srcId="{590CE7C1-5D2B-4B13-960E-E6B427699AD5}" destId="{3DD5D143-9940-41A3-BE83-E0FA4B219059}" srcOrd="0" destOrd="0" presId="urn:microsoft.com/office/officeart/2005/8/layout/orgChart1"/>
    <dgm:cxn modelId="{0953BE4E-3F82-41CD-8CED-25B02E12A429}" type="presParOf" srcId="{590CE7C1-5D2B-4B13-960E-E6B427699AD5}" destId="{ED6C2898-5C67-44FD-A7AC-C5FD8E937318}" srcOrd="1" destOrd="0" presId="urn:microsoft.com/office/officeart/2005/8/layout/orgChart1"/>
    <dgm:cxn modelId="{7458CEF7-2AB1-4481-A670-7901D446BA27}" type="presParOf" srcId="{68F58860-83B4-436A-AEE3-E5622367AE51}" destId="{40CB700B-2238-499C-829B-D16D666D5F94}" srcOrd="1" destOrd="0" presId="urn:microsoft.com/office/officeart/2005/8/layout/orgChart1"/>
    <dgm:cxn modelId="{E4FCCC12-7600-49E4-AC8B-A1C2C4E8A530}" type="presParOf" srcId="{68F58860-83B4-436A-AEE3-E5622367AE51}" destId="{36649342-A542-480E-BBFA-0626701E139F}" srcOrd="2" destOrd="0" presId="urn:microsoft.com/office/officeart/2005/8/layout/orgChart1"/>
    <dgm:cxn modelId="{913BD42E-0401-4C9E-9F70-1A10CD74D304}" type="presParOf" srcId="{713634D5-9CC5-4C34-A059-E867A0257B56}" destId="{FFA7EACB-3343-41F4-8BBA-3581290F25BF}" srcOrd="2" destOrd="0" presId="urn:microsoft.com/office/officeart/2005/8/layout/orgChart1"/>
    <dgm:cxn modelId="{4ED09266-4536-4CF4-B216-A518B5EE1C2C}" type="presParOf" srcId="{A002D905-598A-41F8-BD57-A1D1C0A9A615}" destId="{29A55760-0658-4DE9-B325-1C26B52E9460}" srcOrd="2" destOrd="0" presId="urn:microsoft.com/office/officeart/2005/8/layout/orgChart1"/>
    <dgm:cxn modelId="{0013EB04-2887-4B31-BAB4-8467532746E9}" type="presParOf" srcId="{912E49B9-6BBD-4307-9872-E5FB95FFEDB7}" destId="{F12B0F5A-BC3B-49F8-BF7C-8FACD646A91E}" srcOrd="2" destOrd="0" presId="urn:microsoft.com/office/officeart/2005/8/layout/orgChart1"/>
    <dgm:cxn modelId="{FD91C3C3-E1E4-4B1D-BF5C-6238C01D546E}" type="presParOf" srcId="{912E49B9-6BBD-4307-9872-E5FB95FFEDB7}" destId="{5D165906-BEED-4FBE-B257-3C01DCD18F3C}" srcOrd="3" destOrd="0" presId="urn:microsoft.com/office/officeart/2005/8/layout/orgChart1"/>
    <dgm:cxn modelId="{1F2845A5-AA3E-4CBA-A17D-B6F67BB3340D}" type="presParOf" srcId="{5D165906-BEED-4FBE-B257-3C01DCD18F3C}" destId="{3F79AACA-AB93-4F3F-A4AA-84E7A3BDC458}" srcOrd="0" destOrd="0" presId="urn:microsoft.com/office/officeart/2005/8/layout/orgChart1"/>
    <dgm:cxn modelId="{E2FF28B0-E2AC-4589-81A6-78DD64D261BB}" type="presParOf" srcId="{3F79AACA-AB93-4F3F-A4AA-84E7A3BDC458}" destId="{184BA522-E2C3-4781-A3D4-041F398D4639}" srcOrd="0" destOrd="0" presId="urn:microsoft.com/office/officeart/2005/8/layout/orgChart1"/>
    <dgm:cxn modelId="{E8758D71-E55F-4164-B0C3-0088FF8EA5D8}" type="presParOf" srcId="{3F79AACA-AB93-4F3F-A4AA-84E7A3BDC458}" destId="{F6CB3070-0DED-452F-812E-B9532D4C40A1}" srcOrd="1" destOrd="0" presId="urn:microsoft.com/office/officeart/2005/8/layout/orgChart1"/>
    <dgm:cxn modelId="{39033794-C1C5-4CF9-864E-96C8096046B5}" type="presParOf" srcId="{5D165906-BEED-4FBE-B257-3C01DCD18F3C}" destId="{38A42C51-04E1-47E3-BA92-C82555CC2D5A}" srcOrd="1" destOrd="0" presId="urn:microsoft.com/office/officeart/2005/8/layout/orgChart1"/>
    <dgm:cxn modelId="{B412A1CE-0504-4A3F-B82C-F4C2EE596319}" type="presParOf" srcId="{38A42C51-04E1-47E3-BA92-C82555CC2D5A}" destId="{901D1B39-8A4C-49BC-9C20-E572BC60653C}" srcOrd="0" destOrd="0" presId="urn:microsoft.com/office/officeart/2005/8/layout/orgChart1"/>
    <dgm:cxn modelId="{ED043F56-31A0-4C9E-A80F-BB3BD19251D8}" type="presParOf" srcId="{38A42C51-04E1-47E3-BA92-C82555CC2D5A}" destId="{22D37E23-5956-4AC0-B7EA-144FC2F80CB6}" srcOrd="1" destOrd="0" presId="urn:microsoft.com/office/officeart/2005/8/layout/orgChart1"/>
    <dgm:cxn modelId="{0B4C3C56-7A81-488D-BCC1-378BFF0B0E38}" type="presParOf" srcId="{22D37E23-5956-4AC0-B7EA-144FC2F80CB6}" destId="{D7176BBC-9232-48BC-A902-29A93CD89518}" srcOrd="0" destOrd="0" presId="urn:microsoft.com/office/officeart/2005/8/layout/orgChart1"/>
    <dgm:cxn modelId="{0985B9F6-4626-4AB0-AAAA-231BB1211E56}" type="presParOf" srcId="{D7176BBC-9232-48BC-A902-29A93CD89518}" destId="{5B4C9320-B81D-420A-A7E6-2DEB4BC33A2E}" srcOrd="0" destOrd="0" presId="urn:microsoft.com/office/officeart/2005/8/layout/orgChart1"/>
    <dgm:cxn modelId="{68E1ED38-A407-4D9C-8B34-AC61306EE8F3}" type="presParOf" srcId="{D7176BBC-9232-48BC-A902-29A93CD89518}" destId="{14EDE913-E441-44ED-BEB2-FDC20BB82B8D}" srcOrd="1" destOrd="0" presId="urn:microsoft.com/office/officeart/2005/8/layout/orgChart1"/>
    <dgm:cxn modelId="{B34E54EE-9C9E-460C-B094-6D6EC2BA205B}" type="presParOf" srcId="{22D37E23-5956-4AC0-B7EA-144FC2F80CB6}" destId="{C54479DD-B728-49BE-99D5-181FFC8C7839}" srcOrd="1" destOrd="0" presId="urn:microsoft.com/office/officeart/2005/8/layout/orgChart1"/>
    <dgm:cxn modelId="{96E52E95-3A5F-42C8-8A3D-ADB9FF1F1DC7}" type="presParOf" srcId="{C54479DD-B728-49BE-99D5-181FFC8C7839}" destId="{FA5836FE-4C0C-4636-8D74-34EC881FF870}" srcOrd="0" destOrd="0" presId="urn:microsoft.com/office/officeart/2005/8/layout/orgChart1"/>
    <dgm:cxn modelId="{F865C056-F5DE-4B1B-9F28-800A3D73C10D}" type="presParOf" srcId="{C54479DD-B728-49BE-99D5-181FFC8C7839}" destId="{3CAC384C-C56E-4AA0-8FC1-144D4239EBDB}" srcOrd="1" destOrd="0" presId="urn:microsoft.com/office/officeart/2005/8/layout/orgChart1"/>
    <dgm:cxn modelId="{2E591E87-30A4-4DDB-88E0-6E1B53B97396}" type="presParOf" srcId="{3CAC384C-C56E-4AA0-8FC1-144D4239EBDB}" destId="{9DF22B28-A90C-44C8-9DED-673F2885DCD3}" srcOrd="0" destOrd="0" presId="urn:microsoft.com/office/officeart/2005/8/layout/orgChart1"/>
    <dgm:cxn modelId="{03270005-E8FD-446E-A889-583689C96614}" type="presParOf" srcId="{9DF22B28-A90C-44C8-9DED-673F2885DCD3}" destId="{4E7A2059-FC4B-4C11-913E-D8835FD4FE62}" srcOrd="0" destOrd="0" presId="urn:microsoft.com/office/officeart/2005/8/layout/orgChart1"/>
    <dgm:cxn modelId="{14C60026-5C20-4738-BE6A-34C9B5AEB49A}" type="presParOf" srcId="{9DF22B28-A90C-44C8-9DED-673F2885DCD3}" destId="{D83822B3-0DCE-4D70-8562-CF7537AF0483}" srcOrd="1" destOrd="0" presId="urn:microsoft.com/office/officeart/2005/8/layout/orgChart1"/>
    <dgm:cxn modelId="{6C17EF02-B932-43B2-B5CA-9C1C1CEF4BEC}" type="presParOf" srcId="{3CAC384C-C56E-4AA0-8FC1-144D4239EBDB}" destId="{0313537F-71E2-49C5-8DBA-DE03D1D1B6CC}" srcOrd="1" destOrd="0" presId="urn:microsoft.com/office/officeart/2005/8/layout/orgChart1"/>
    <dgm:cxn modelId="{FC287681-1228-4A15-BD4D-B9CC4517AF8B}" type="presParOf" srcId="{0313537F-71E2-49C5-8DBA-DE03D1D1B6CC}" destId="{8C29B30F-0BC7-481B-A28E-71450E5D2EEF}" srcOrd="0" destOrd="0" presId="urn:microsoft.com/office/officeart/2005/8/layout/orgChart1"/>
    <dgm:cxn modelId="{4010D51F-D2AB-4BBA-A235-28283B7683E2}" type="presParOf" srcId="{0313537F-71E2-49C5-8DBA-DE03D1D1B6CC}" destId="{6033CEF6-DA31-4400-8C3F-BBE5851A8DC7}" srcOrd="1" destOrd="0" presId="urn:microsoft.com/office/officeart/2005/8/layout/orgChart1"/>
    <dgm:cxn modelId="{B4C9B7D8-F224-4A38-8FD3-578D980973EA}" type="presParOf" srcId="{6033CEF6-DA31-4400-8C3F-BBE5851A8DC7}" destId="{2B2789AB-C353-422A-B37F-1700C0E4DDDD}" srcOrd="0" destOrd="0" presId="urn:microsoft.com/office/officeart/2005/8/layout/orgChart1"/>
    <dgm:cxn modelId="{CD041EB5-33ED-4EA9-9096-0BA73ADE8590}" type="presParOf" srcId="{2B2789AB-C353-422A-B37F-1700C0E4DDDD}" destId="{E6F7FABC-C449-4B9B-9ED4-97507D382016}" srcOrd="0" destOrd="0" presId="urn:microsoft.com/office/officeart/2005/8/layout/orgChart1"/>
    <dgm:cxn modelId="{9D0CDF1C-DFD1-45E4-98CE-AB3123C24EC1}" type="presParOf" srcId="{2B2789AB-C353-422A-B37F-1700C0E4DDDD}" destId="{46A70FC5-3E22-44A8-84EA-ABDAC16CBC70}" srcOrd="1" destOrd="0" presId="urn:microsoft.com/office/officeart/2005/8/layout/orgChart1"/>
    <dgm:cxn modelId="{3AD6373B-7715-432F-829C-23B297AD1EE8}" type="presParOf" srcId="{6033CEF6-DA31-4400-8C3F-BBE5851A8DC7}" destId="{9B21971C-68EF-4FA0-BA26-781CC240A3B8}" srcOrd="1" destOrd="0" presId="urn:microsoft.com/office/officeart/2005/8/layout/orgChart1"/>
    <dgm:cxn modelId="{2360C3A6-F357-4B83-A3A7-8BD2F958FA45}" type="presParOf" srcId="{9B21971C-68EF-4FA0-BA26-781CC240A3B8}" destId="{B306CD72-E946-4507-AE97-809FCCF45345}" srcOrd="0" destOrd="0" presId="urn:microsoft.com/office/officeart/2005/8/layout/orgChart1"/>
    <dgm:cxn modelId="{93B5BBF0-9F26-41BF-90A1-75406E7E3AC8}" type="presParOf" srcId="{9B21971C-68EF-4FA0-BA26-781CC240A3B8}" destId="{FD5F7DAC-9505-49D5-B6FB-BB241A0861FC}" srcOrd="1" destOrd="0" presId="urn:microsoft.com/office/officeart/2005/8/layout/orgChart1"/>
    <dgm:cxn modelId="{C734191B-B52A-471D-B4A0-E0E5F1509B37}" type="presParOf" srcId="{FD5F7DAC-9505-49D5-B6FB-BB241A0861FC}" destId="{828BCD27-930E-4051-B118-C0F9F97F94A3}" srcOrd="0" destOrd="0" presId="urn:microsoft.com/office/officeart/2005/8/layout/orgChart1"/>
    <dgm:cxn modelId="{2A056EF4-DE91-4B8D-8468-CC46A463E524}" type="presParOf" srcId="{828BCD27-930E-4051-B118-C0F9F97F94A3}" destId="{53258423-2335-497F-BB78-0C05B55D40E0}" srcOrd="0" destOrd="0" presId="urn:microsoft.com/office/officeart/2005/8/layout/orgChart1"/>
    <dgm:cxn modelId="{921F34EF-96A5-42D0-885B-57CC4636885E}" type="presParOf" srcId="{828BCD27-930E-4051-B118-C0F9F97F94A3}" destId="{07FCC3FF-F7D5-4CB9-99EA-D27AAFE4C8B8}" srcOrd="1" destOrd="0" presId="urn:microsoft.com/office/officeart/2005/8/layout/orgChart1"/>
    <dgm:cxn modelId="{FC396D8F-D94B-40D4-88D7-419E7E0377F5}" type="presParOf" srcId="{FD5F7DAC-9505-49D5-B6FB-BB241A0861FC}" destId="{0BD3EC5B-D9FD-412C-AE45-80762E1F03E8}" srcOrd="1" destOrd="0" presId="urn:microsoft.com/office/officeart/2005/8/layout/orgChart1"/>
    <dgm:cxn modelId="{F98920F2-0FCF-4CAC-8A36-53E3B4395878}" type="presParOf" srcId="{FD5F7DAC-9505-49D5-B6FB-BB241A0861FC}" destId="{A10BD37F-A033-49A7-81CC-536BA64E0C49}" srcOrd="2" destOrd="0" presId="urn:microsoft.com/office/officeart/2005/8/layout/orgChart1"/>
    <dgm:cxn modelId="{AC3F5F57-8756-48D7-A689-E0D5BC44A0E6}" type="presParOf" srcId="{9B21971C-68EF-4FA0-BA26-781CC240A3B8}" destId="{81562BBA-C98E-4BB5-B7D4-953C20B75EB8}" srcOrd="2" destOrd="0" presId="urn:microsoft.com/office/officeart/2005/8/layout/orgChart1"/>
    <dgm:cxn modelId="{00967AE5-FE54-4FDA-8BDC-B905B40644C9}" type="presParOf" srcId="{9B21971C-68EF-4FA0-BA26-781CC240A3B8}" destId="{1426B761-6CD7-4173-A206-2AD86B89F024}" srcOrd="3" destOrd="0" presId="urn:microsoft.com/office/officeart/2005/8/layout/orgChart1"/>
    <dgm:cxn modelId="{5178D94C-B92E-43DE-985E-7E44CDFDB312}" type="presParOf" srcId="{1426B761-6CD7-4173-A206-2AD86B89F024}" destId="{A36B8634-4583-4405-B299-FBAC61A810C7}" srcOrd="0" destOrd="0" presId="urn:microsoft.com/office/officeart/2005/8/layout/orgChart1"/>
    <dgm:cxn modelId="{69372F9C-E98E-482E-A4A4-80032C9353FC}" type="presParOf" srcId="{A36B8634-4583-4405-B299-FBAC61A810C7}" destId="{60DDDFFA-5263-4E48-A687-7892B96052DF}" srcOrd="0" destOrd="0" presId="urn:microsoft.com/office/officeart/2005/8/layout/orgChart1"/>
    <dgm:cxn modelId="{28715EB0-35BC-4534-8F71-6729D79556D6}" type="presParOf" srcId="{A36B8634-4583-4405-B299-FBAC61A810C7}" destId="{8F04A0D3-031A-4060-92B0-49C682905362}" srcOrd="1" destOrd="0" presId="urn:microsoft.com/office/officeart/2005/8/layout/orgChart1"/>
    <dgm:cxn modelId="{EC99D2A5-13F8-486B-B308-617E59D4D7FB}" type="presParOf" srcId="{1426B761-6CD7-4173-A206-2AD86B89F024}" destId="{5BC5F739-6D74-44E1-91E9-78D7A1153B0A}" srcOrd="1" destOrd="0" presId="urn:microsoft.com/office/officeart/2005/8/layout/orgChart1"/>
    <dgm:cxn modelId="{F1B8C9EA-0560-41D9-A233-1225F44EEF04}" type="presParOf" srcId="{1426B761-6CD7-4173-A206-2AD86B89F024}" destId="{E38A8485-E34B-4E2B-8ED0-402C8A3EC1B6}" srcOrd="2" destOrd="0" presId="urn:microsoft.com/office/officeart/2005/8/layout/orgChart1"/>
    <dgm:cxn modelId="{308F3F02-7633-41C6-8471-92DB65DCB7FD}" type="presParOf" srcId="{6033CEF6-DA31-4400-8C3F-BBE5851A8DC7}" destId="{F5979DF5-2893-4B50-94F5-A475334A84B4}" srcOrd="2" destOrd="0" presId="urn:microsoft.com/office/officeart/2005/8/layout/orgChart1"/>
    <dgm:cxn modelId="{5E0FA6DB-EE57-45EC-9C47-DBE983B2AB5A}" type="presParOf" srcId="{0313537F-71E2-49C5-8DBA-DE03D1D1B6CC}" destId="{AB40AAAF-F9FE-479F-A9D7-B2C61A40C07C}" srcOrd="2" destOrd="0" presId="urn:microsoft.com/office/officeart/2005/8/layout/orgChart1"/>
    <dgm:cxn modelId="{3055EE02-D9C2-4014-AAC4-DE31577CB780}" type="presParOf" srcId="{0313537F-71E2-49C5-8DBA-DE03D1D1B6CC}" destId="{EF6AC9BF-A346-4E8B-95F3-FABA2BB449FF}" srcOrd="3" destOrd="0" presId="urn:microsoft.com/office/officeart/2005/8/layout/orgChart1"/>
    <dgm:cxn modelId="{373C60AB-07E8-4525-86DC-5E42E88DF96D}" type="presParOf" srcId="{EF6AC9BF-A346-4E8B-95F3-FABA2BB449FF}" destId="{57B68A1C-BF3E-45B6-8CC6-25BCBE2D92B2}" srcOrd="0" destOrd="0" presId="urn:microsoft.com/office/officeart/2005/8/layout/orgChart1"/>
    <dgm:cxn modelId="{A1FCA048-17D4-4A02-8008-079B0CB63CF1}" type="presParOf" srcId="{57B68A1C-BF3E-45B6-8CC6-25BCBE2D92B2}" destId="{CE97B355-1115-47FC-970A-840F120F66ED}" srcOrd="0" destOrd="0" presId="urn:microsoft.com/office/officeart/2005/8/layout/orgChart1"/>
    <dgm:cxn modelId="{71B2D64D-6AE0-48B4-94DF-03FAE12BFA4F}" type="presParOf" srcId="{57B68A1C-BF3E-45B6-8CC6-25BCBE2D92B2}" destId="{64FBF046-D76F-4F7E-AEEE-9A0006CD5B44}" srcOrd="1" destOrd="0" presId="urn:microsoft.com/office/officeart/2005/8/layout/orgChart1"/>
    <dgm:cxn modelId="{5DA5DF18-3A7A-4287-9EBA-0DDF4C3E4556}" type="presParOf" srcId="{EF6AC9BF-A346-4E8B-95F3-FABA2BB449FF}" destId="{A8BB15BD-BC9C-4224-B902-A1F54DC6CA52}" srcOrd="1" destOrd="0" presId="urn:microsoft.com/office/officeart/2005/8/layout/orgChart1"/>
    <dgm:cxn modelId="{7C5574C4-ED61-4762-A00B-4ED96108CED4}" type="presParOf" srcId="{EF6AC9BF-A346-4E8B-95F3-FABA2BB449FF}" destId="{EA199886-C942-4689-92E3-43607A6E4511}" srcOrd="2" destOrd="0" presId="urn:microsoft.com/office/officeart/2005/8/layout/orgChart1"/>
    <dgm:cxn modelId="{B110E2D3-AFE2-4C6C-B09D-9AFBD953EEA6}" type="presParOf" srcId="{3CAC384C-C56E-4AA0-8FC1-144D4239EBDB}" destId="{DD2860A3-8673-47F0-8C00-82488BF6B6BA}" srcOrd="2" destOrd="0" presId="urn:microsoft.com/office/officeart/2005/8/layout/orgChart1"/>
    <dgm:cxn modelId="{20E89A63-C450-4B96-BCA6-E55C3E056D9B}" type="presParOf" srcId="{22D37E23-5956-4AC0-B7EA-144FC2F80CB6}" destId="{C26CEC26-CDD2-4F9F-8E50-B60EAC752D3E}" srcOrd="2" destOrd="0" presId="urn:microsoft.com/office/officeart/2005/8/layout/orgChart1"/>
    <dgm:cxn modelId="{5B92403C-2A8C-4509-B87F-E151C6F7FDDD}" type="presParOf" srcId="{38A42C51-04E1-47E3-BA92-C82555CC2D5A}" destId="{550B1254-A081-40EA-9261-99BFA5788F90}" srcOrd="2" destOrd="0" presId="urn:microsoft.com/office/officeart/2005/8/layout/orgChart1"/>
    <dgm:cxn modelId="{02367F56-2C45-450F-BB4D-530E3D5B65B8}" type="presParOf" srcId="{38A42C51-04E1-47E3-BA92-C82555CC2D5A}" destId="{455FD080-B9C2-44DF-9DBA-2642C49D01D5}" srcOrd="3" destOrd="0" presId="urn:microsoft.com/office/officeart/2005/8/layout/orgChart1"/>
    <dgm:cxn modelId="{D16A15AF-0228-429C-A9D6-C10E1AE088DB}" type="presParOf" srcId="{455FD080-B9C2-44DF-9DBA-2642C49D01D5}" destId="{E794B530-B5BA-4884-A0F7-9ADCC4ED70C2}" srcOrd="0" destOrd="0" presId="urn:microsoft.com/office/officeart/2005/8/layout/orgChart1"/>
    <dgm:cxn modelId="{805BDF1A-DC1F-4635-A078-6D61FF7B9564}" type="presParOf" srcId="{E794B530-B5BA-4884-A0F7-9ADCC4ED70C2}" destId="{AECDDFE3-21C5-4F82-9A1A-04C88C80D64C}" srcOrd="0" destOrd="0" presId="urn:microsoft.com/office/officeart/2005/8/layout/orgChart1"/>
    <dgm:cxn modelId="{2FCD3602-F0A7-4A5C-AD4F-4B0D6BE63F01}" type="presParOf" srcId="{E794B530-B5BA-4884-A0F7-9ADCC4ED70C2}" destId="{6569EE75-40F0-4D36-B570-85D4538BC615}" srcOrd="1" destOrd="0" presId="urn:microsoft.com/office/officeart/2005/8/layout/orgChart1"/>
    <dgm:cxn modelId="{9D7EB5C2-884A-465A-B0C5-0B4617515E84}" type="presParOf" srcId="{455FD080-B9C2-44DF-9DBA-2642C49D01D5}" destId="{3A03649A-CA08-4EE6-8D69-C023D95A58A6}" srcOrd="1" destOrd="0" presId="urn:microsoft.com/office/officeart/2005/8/layout/orgChart1"/>
    <dgm:cxn modelId="{DCEB17E0-38A7-4FB8-81A6-081716D8D987}" type="presParOf" srcId="{3A03649A-CA08-4EE6-8D69-C023D95A58A6}" destId="{D4FC352C-8DA5-44AF-939A-F4DD393CDE42}" srcOrd="0" destOrd="0" presId="urn:microsoft.com/office/officeart/2005/8/layout/orgChart1"/>
    <dgm:cxn modelId="{A023E632-D9A6-4C66-BC69-10C71A66CDE7}" type="presParOf" srcId="{3A03649A-CA08-4EE6-8D69-C023D95A58A6}" destId="{28866CA8-6D15-4080-9265-19F0C302AC9F}" srcOrd="1" destOrd="0" presId="urn:microsoft.com/office/officeart/2005/8/layout/orgChart1"/>
    <dgm:cxn modelId="{1F05B81B-100B-432D-9F9D-37D9C846F2BD}" type="presParOf" srcId="{28866CA8-6D15-4080-9265-19F0C302AC9F}" destId="{291379C1-83A2-4B07-A7A6-757DE2B1B20E}" srcOrd="0" destOrd="0" presId="urn:microsoft.com/office/officeart/2005/8/layout/orgChart1"/>
    <dgm:cxn modelId="{90DAD3B8-B505-4365-8926-D467F017E46E}" type="presParOf" srcId="{291379C1-83A2-4B07-A7A6-757DE2B1B20E}" destId="{AF87B628-7736-4849-9581-2239DCEEF6C8}" srcOrd="0" destOrd="0" presId="urn:microsoft.com/office/officeart/2005/8/layout/orgChart1"/>
    <dgm:cxn modelId="{BCD97622-659F-4531-B818-559BE26F1134}" type="presParOf" srcId="{291379C1-83A2-4B07-A7A6-757DE2B1B20E}" destId="{4F90244F-8E3B-4771-93AC-932D3D54BBAE}" srcOrd="1" destOrd="0" presId="urn:microsoft.com/office/officeart/2005/8/layout/orgChart1"/>
    <dgm:cxn modelId="{935864A2-76BC-4B3C-9EF5-8F360E93D554}" type="presParOf" srcId="{28866CA8-6D15-4080-9265-19F0C302AC9F}" destId="{39C804AC-9900-4684-8A44-CAF5792CCEAE}" srcOrd="1" destOrd="0" presId="urn:microsoft.com/office/officeart/2005/8/layout/orgChart1"/>
    <dgm:cxn modelId="{394D04AB-8606-40C8-9CDB-9175703A03CD}" type="presParOf" srcId="{28866CA8-6D15-4080-9265-19F0C302AC9F}" destId="{BC1F9931-B75C-4BD2-B7A9-F47D5AD0668C}" srcOrd="2" destOrd="0" presId="urn:microsoft.com/office/officeart/2005/8/layout/orgChart1"/>
    <dgm:cxn modelId="{578A32AF-4D28-4F01-8830-7F0B1434F9E0}" type="presParOf" srcId="{455FD080-B9C2-44DF-9DBA-2642C49D01D5}" destId="{CBB5FE2C-20C3-42CD-A6EF-D5839B983518}" srcOrd="2" destOrd="0" presId="urn:microsoft.com/office/officeart/2005/8/layout/orgChart1"/>
    <dgm:cxn modelId="{3F4B5F11-7DBA-4D08-B645-00AA94957453}" type="presParOf" srcId="{5D165906-BEED-4FBE-B257-3C01DCD18F3C}" destId="{D0760720-CF86-40D2-9870-36EC40F71885}" srcOrd="2" destOrd="0" presId="urn:microsoft.com/office/officeart/2005/8/layout/orgChart1"/>
    <dgm:cxn modelId="{0E61677E-4542-4426-97FD-6003DFB89F4B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5F7C-A8C8-4717-9D77-406CFC72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27</Pages>
  <Words>7816</Words>
  <Characters>46898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54605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Tadek</dc:creator>
  <cp:lastModifiedBy>Renata Gryciuk</cp:lastModifiedBy>
  <cp:revision>29</cp:revision>
  <cp:lastPrinted>2017-02-27T13:43:00Z</cp:lastPrinted>
  <dcterms:created xsi:type="dcterms:W3CDTF">2017-02-27T10:05:00Z</dcterms:created>
  <dcterms:modified xsi:type="dcterms:W3CDTF">2017-04-20T09:36:00Z</dcterms:modified>
</cp:coreProperties>
</file>