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422" w:rsidRDefault="00CB1422"/>
    <w:p w:rsidR="00C902A1" w:rsidRPr="00985D59" w:rsidRDefault="00C902A1" w:rsidP="00C902A1">
      <w:pPr>
        <w:jc w:val="right"/>
        <w:rPr>
          <w:i/>
        </w:rPr>
      </w:pPr>
      <w:r w:rsidRPr="00985D59">
        <w:rPr>
          <w:i/>
        </w:rPr>
        <w:t>Załącznik nr 1</w:t>
      </w:r>
    </w:p>
    <w:p w:rsidR="004830F3" w:rsidRDefault="00C902A1" w:rsidP="004830F3">
      <w:pPr>
        <w:rPr>
          <w:b/>
        </w:rPr>
      </w:pPr>
      <w:r>
        <w:rPr>
          <w:b/>
        </w:rPr>
        <w:t>Formularz cenowy</w:t>
      </w:r>
      <w:r w:rsidR="004830F3" w:rsidRPr="004830F3">
        <w:rPr>
          <w:b/>
        </w:rPr>
        <w:t xml:space="preserve"> dotycząc</w:t>
      </w:r>
      <w:r>
        <w:rPr>
          <w:b/>
        </w:rPr>
        <w:t>y</w:t>
      </w:r>
      <w:r w:rsidR="004830F3" w:rsidRPr="004830F3">
        <w:rPr>
          <w:b/>
        </w:rPr>
        <w:t xml:space="preserve"> </w:t>
      </w:r>
      <w:r w:rsidRPr="00C902A1">
        <w:rPr>
          <w:b/>
        </w:rPr>
        <w:t>zakup</w:t>
      </w:r>
      <w:r>
        <w:rPr>
          <w:b/>
        </w:rPr>
        <w:t>u</w:t>
      </w:r>
      <w:r w:rsidRPr="00C902A1">
        <w:rPr>
          <w:b/>
        </w:rPr>
        <w:t xml:space="preserve"> i wyposażeni</w:t>
      </w:r>
      <w:r>
        <w:rPr>
          <w:b/>
        </w:rPr>
        <w:t xml:space="preserve">a </w:t>
      </w:r>
      <w:r w:rsidRPr="00C902A1">
        <w:rPr>
          <w:b/>
        </w:rPr>
        <w:t xml:space="preserve">specjalistycznego pojazdu typu </w:t>
      </w:r>
      <w:proofErr w:type="spellStart"/>
      <w:r w:rsidRPr="00C902A1">
        <w:rPr>
          <w:b/>
        </w:rPr>
        <w:t>bus</w:t>
      </w:r>
      <w:proofErr w:type="spellEnd"/>
      <w:r w:rsidRPr="00C902A1">
        <w:rPr>
          <w:b/>
        </w:rPr>
        <w:t xml:space="preserve"> pełniącego funkcję mobilnego punktu informacyjno-edukacyjnego</w:t>
      </w:r>
      <w:r>
        <w:rPr>
          <w:b/>
        </w:rPr>
        <w:t>.</w:t>
      </w:r>
    </w:p>
    <w:p w:rsidR="00C902A1" w:rsidRDefault="00C902A1" w:rsidP="004830F3">
      <w:pPr>
        <w:rPr>
          <w:b/>
        </w:rPr>
      </w:pPr>
    </w:p>
    <w:p w:rsidR="00C902A1" w:rsidRPr="004830F3" w:rsidRDefault="00C902A1" w:rsidP="004830F3">
      <w:pPr>
        <w:rPr>
          <w:b/>
        </w:rPr>
      </w:pPr>
    </w:p>
    <w:p w:rsidR="004830F3" w:rsidRDefault="004830F3"/>
    <w:p w:rsidR="004830F3" w:rsidRDefault="00A148BD">
      <w:r>
        <w:t>Przedstawienie</w:t>
      </w:r>
      <w:r w:rsidRPr="00A148BD">
        <w:t xml:space="preserve"> </w:t>
      </w:r>
      <w:r>
        <w:t>wyceny</w:t>
      </w:r>
      <w:r w:rsidRPr="00A148BD">
        <w:t xml:space="preserve"> przez potencjalnego Wykonawcę nie jest równoznaczne ze złożeniem zamówienia przez Zamawiającego.</w:t>
      </w:r>
      <w:bookmarkStart w:id="0" w:name="_GoBack"/>
      <w:bookmarkEnd w:id="0"/>
    </w:p>
    <w:tbl>
      <w:tblPr>
        <w:tblStyle w:val="Tabela-Siatka"/>
        <w:tblpPr w:leftFromText="141" w:rightFromText="141" w:vertAnchor="page" w:horzAnchor="margin" w:tblpY="3451"/>
        <w:tblW w:w="9288" w:type="dxa"/>
        <w:tblLook w:val="04A0" w:firstRow="1" w:lastRow="0" w:firstColumn="1" w:lastColumn="0" w:noHBand="0" w:noVBand="1"/>
      </w:tblPr>
      <w:tblGrid>
        <w:gridCol w:w="545"/>
        <w:gridCol w:w="2595"/>
        <w:gridCol w:w="3039"/>
        <w:gridCol w:w="1623"/>
        <w:gridCol w:w="1486"/>
      </w:tblGrid>
      <w:tr w:rsidR="004830F3" w:rsidRPr="004830F3" w:rsidTr="00C902A1">
        <w:tc>
          <w:tcPr>
            <w:tcW w:w="545" w:type="dxa"/>
            <w:shd w:val="clear" w:color="auto" w:fill="D9E2F3" w:themeFill="accent1" w:themeFillTint="33"/>
          </w:tcPr>
          <w:p w:rsidR="004830F3" w:rsidRPr="004830F3" w:rsidRDefault="004830F3" w:rsidP="00C902A1">
            <w:pPr>
              <w:spacing w:after="160" w:line="259" w:lineRule="auto"/>
              <w:rPr>
                <w:b/>
              </w:rPr>
            </w:pPr>
            <w:r w:rsidRPr="004830F3">
              <w:rPr>
                <w:b/>
              </w:rPr>
              <w:t>L.p.</w:t>
            </w:r>
          </w:p>
        </w:tc>
        <w:tc>
          <w:tcPr>
            <w:tcW w:w="2595" w:type="dxa"/>
            <w:shd w:val="clear" w:color="auto" w:fill="D9E2F3" w:themeFill="accent1" w:themeFillTint="33"/>
          </w:tcPr>
          <w:p w:rsidR="004830F3" w:rsidRPr="004830F3" w:rsidRDefault="004830F3" w:rsidP="00C902A1">
            <w:pPr>
              <w:spacing w:after="160" w:line="259" w:lineRule="auto"/>
              <w:rPr>
                <w:b/>
              </w:rPr>
            </w:pPr>
            <w:r w:rsidRPr="004830F3">
              <w:rPr>
                <w:b/>
              </w:rPr>
              <w:t>Część zamówienia</w:t>
            </w:r>
          </w:p>
        </w:tc>
        <w:tc>
          <w:tcPr>
            <w:tcW w:w="3039" w:type="dxa"/>
            <w:shd w:val="clear" w:color="auto" w:fill="D9E2F3" w:themeFill="accent1" w:themeFillTint="33"/>
          </w:tcPr>
          <w:p w:rsidR="004830F3" w:rsidRPr="004830F3" w:rsidRDefault="004830F3" w:rsidP="00C902A1">
            <w:pPr>
              <w:spacing w:after="160" w:line="259" w:lineRule="auto"/>
              <w:rPr>
                <w:b/>
              </w:rPr>
            </w:pPr>
            <w:r w:rsidRPr="004830F3">
              <w:rPr>
                <w:b/>
              </w:rPr>
              <w:t>Usługa</w:t>
            </w:r>
          </w:p>
        </w:tc>
        <w:tc>
          <w:tcPr>
            <w:tcW w:w="1623" w:type="dxa"/>
            <w:shd w:val="clear" w:color="auto" w:fill="D9E2F3" w:themeFill="accent1" w:themeFillTint="33"/>
          </w:tcPr>
          <w:p w:rsidR="004830F3" w:rsidRPr="004830F3" w:rsidRDefault="004830F3" w:rsidP="00C902A1">
            <w:pPr>
              <w:spacing w:after="160" w:line="259" w:lineRule="auto"/>
              <w:rPr>
                <w:b/>
              </w:rPr>
            </w:pPr>
            <w:r w:rsidRPr="004830F3">
              <w:rPr>
                <w:b/>
              </w:rPr>
              <w:t>Cena BRUTTO</w:t>
            </w:r>
          </w:p>
        </w:tc>
        <w:tc>
          <w:tcPr>
            <w:tcW w:w="1486" w:type="dxa"/>
            <w:shd w:val="clear" w:color="auto" w:fill="D9E2F3" w:themeFill="accent1" w:themeFillTint="33"/>
          </w:tcPr>
          <w:p w:rsidR="004830F3" w:rsidRPr="004830F3" w:rsidRDefault="004830F3" w:rsidP="00C902A1">
            <w:pPr>
              <w:spacing w:after="160" w:line="259" w:lineRule="auto"/>
              <w:rPr>
                <w:b/>
              </w:rPr>
            </w:pPr>
            <w:r w:rsidRPr="004830F3">
              <w:rPr>
                <w:b/>
              </w:rPr>
              <w:t>Cena BRUTTO -jednostkowa</w:t>
            </w:r>
          </w:p>
        </w:tc>
      </w:tr>
      <w:tr w:rsidR="004830F3" w:rsidRPr="004830F3" w:rsidTr="00C902A1">
        <w:trPr>
          <w:trHeight w:val="1181"/>
        </w:trPr>
        <w:tc>
          <w:tcPr>
            <w:tcW w:w="545" w:type="dxa"/>
            <w:shd w:val="clear" w:color="auto" w:fill="D9E2F3" w:themeFill="accent1" w:themeFillTint="33"/>
          </w:tcPr>
          <w:p w:rsidR="004830F3" w:rsidRPr="004830F3" w:rsidRDefault="004830F3" w:rsidP="00C902A1">
            <w:pPr>
              <w:spacing w:after="160" w:line="259" w:lineRule="auto"/>
              <w:rPr>
                <w:b/>
              </w:rPr>
            </w:pPr>
            <w:r w:rsidRPr="004830F3">
              <w:rPr>
                <w:b/>
              </w:rPr>
              <w:t>1</w:t>
            </w:r>
          </w:p>
        </w:tc>
        <w:tc>
          <w:tcPr>
            <w:tcW w:w="2595" w:type="dxa"/>
          </w:tcPr>
          <w:p w:rsidR="004830F3" w:rsidRPr="004830F3" w:rsidRDefault="004830F3" w:rsidP="00C902A1">
            <w:pPr>
              <w:spacing w:after="160" w:line="259" w:lineRule="auto"/>
            </w:pPr>
            <w:r w:rsidRPr="004830F3">
              <w:t xml:space="preserve">Samochód osobowy typu </w:t>
            </w:r>
            <w:proofErr w:type="spellStart"/>
            <w:r w:rsidRPr="004830F3">
              <w:t>bus</w:t>
            </w:r>
            <w:proofErr w:type="spellEnd"/>
          </w:p>
        </w:tc>
        <w:tc>
          <w:tcPr>
            <w:tcW w:w="3039" w:type="dxa"/>
          </w:tcPr>
          <w:p w:rsidR="004830F3" w:rsidRPr="004830F3" w:rsidRDefault="004830F3" w:rsidP="00C902A1">
            <w:pPr>
              <w:spacing w:after="160" w:line="259" w:lineRule="auto"/>
            </w:pPr>
            <w:r w:rsidRPr="004830F3">
              <w:t>Zgodnie z wytycznymi w OPZ</w:t>
            </w:r>
          </w:p>
        </w:tc>
        <w:tc>
          <w:tcPr>
            <w:tcW w:w="1623" w:type="dxa"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1486" w:type="dxa"/>
            <w:vAlign w:val="center"/>
          </w:tcPr>
          <w:p w:rsidR="004830F3" w:rsidRPr="004830F3" w:rsidRDefault="004830F3" w:rsidP="00C902A1">
            <w:pPr>
              <w:spacing w:after="160" w:line="259" w:lineRule="auto"/>
              <w:jc w:val="center"/>
            </w:pPr>
            <w:r w:rsidRPr="004830F3">
              <w:t>-</w:t>
            </w:r>
          </w:p>
        </w:tc>
      </w:tr>
      <w:tr w:rsidR="004830F3" w:rsidRPr="004830F3" w:rsidTr="00C902A1">
        <w:trPr>
          <w:trHeight w:val="687"/>
        </w:trPr>
        <w:tc>
          <w:tcPr>
            <w:tcW w:w="545" w:type="dxa"/>
            <w:vMerge w:val="restart"/>
            <w:shd w:val="clear" w:color="auto" w:fill="D9E2F3" w:themeFill="accent1" w:themeFillTint="33"/>
          </w:tcPr>
          <w:p w:rsidR="004830F3" w:rsidRPr="004830F3" w:rsidRDefault="004830F3" w:rsidP="00C902A1">
            <w:pPr>
              <w:spacing w:after="160" w:line="259" w:lineRule="auto"/>
              <w:rPr>
                <w:b/>
              </w:rPr>
            </w:pPr>
            <w:r w:rsidRPr="004830F3">
              <w:rPr>
                <w:b/>
              </w:rPr>
              <w:t>2</w:t>
            </w:r>
          </w:p>
        </w:tc>
        <w:tc>
          <w:tcPr>
            <w:tcW w:w="2595" w:type="dxa"/>
            <w:vMerge w:val="restart"/>
          </w:tcPr>
          <w:p w:rsidR="004830F3" w:rsidRPr="004830F3" w:rsidRDefault="004830F3" w:rsidP="00C902A1">
            <w:pPr>
              <w:spacing w:after="160" w:line="259" w:lineRule="auto"/>
            </w:pPr>
            <w:r w:rsidRPr="004830F3">
              <w:rPr>
                <w:bCs/>
              </w:rPr>
              <w:t>Wyposażenie dodatkowe pojazdu w postaci mobilnego zestawu multimedialnego przeznaczonego do prowadzenia prezentacji, wykładów i wydarzeń edukacyjnych</w:t>
            </w:r>
          </w:p>
        </w:tc>
        <w:tc>
          <w:tcPr>
            <w:tcW w:w="3039" w:type="dxa"/>
          </w:tcPr>
          <w:p w:rsidR="004830F3" w:rsidRPr="004830F3" w:rsidRDefault="004830F3" w:rsidP="00C902A1">
            <w:pPr>
              <w:spacing w:after="160" w:line="259" w:lineRule="auto"/>
            </w:pPr>
            <w:r w:rsidRPr="004830F3">
              <w:t>Przenośny totem LED typu „poster”</w:t>
            </w:r>
            <w:r w:rsidR="007E103B">
              <w:t xml:space="preserve"> (4 sztuki)</w:t>
            </w:r>
          </w:p>
        </w:tc>
        <w:tc>
          <w:tcPr>
            <w:tcW w:w="1623" w:type="dxa"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1486" w:type="dxa"/>
          </w:tcPr>
          <w:p w:rsidR="004830F3" w:rsidRPr="004830F3" w:rsidRDefault="004830F3" w:rsidP="00C902A1">
            <w:pPr>
              <w:spacing w:after="160" w:line="259" w:lineRule="auto"/>
            </w:pPr>
          </w:p>
        </w:tc>
      </w:tr>
      <w:tr w:rsidR="004830F3" w:rsidRPr="004830F3" w:rsidTr="00C902A1">
        <w:trPr>
          <w:trHeight w:val="1322"/>
        </w:trPr>
        <w:tc>
          <w:tcPr>
            <w:tcW w:w="545" w:type="dxa"/>
            <w:vMerge/>
            <w:shd w:val="clear" w:color="auto" w:fill="D9E2F3" w:themeFill="accent1" w:themeFillTint="33"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2595" w:type="dxa"/>
            <w:vMerge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3039" w:type="dxa"/>
          </w:tcPr>
          <w:p w:rsidR="004830F3" w:rsidRPr="004830F3" w:rsidRDefault="004830F3" w:rsidP="00C902A1">
            <w:pPr>
              <w:spacing w:after="160" w:line="259" w:lineRule="auto"/>
            </w:pPr>
            <w:r w:rsidRPr="004830F3">
              <w:t xml:space="preserve">Zestaw mikrofonów bezprzewodowych konferencyjnych </w:t>
            </w:r>
          </w:p>
        </w:tc>
        <w:tc>
          <w:tcPr>
            <w:tcW w:w="1623" w:type="dxa"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1486" w:type="dxa"/>
          </w:tcPr>
          <w:p w:rsidR="004830F3" w:rsidRPr="004830F3" w:rsidRDefault="004830F3" w:rsidP="00C902A1">
            <w:pPr>
              <w:spacing w:after="160" w:line="259" w:lineRule="auto"/>
            </w:pPr>
          </w:p>
        </w:tc>
      </w:tr>
      <w:tr w:rsidR="004830F3" w:rsidRPr="004830F3" w:rsidTr="00C902A1">
        <w:trPr>
          <w:trHeight w:val="1138"/>
        </w:trPr>
        <w:tc>
          <w:tcPr>
            <w:tcW w:w="545" w:type="dxa"/>
            <w:vMerge/>
            <w:shd w:val="clear" w:color="auto" w:fill="D9E2F3" w:themeFill="accent1" w:themeFillTint="33"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2595" w:type="dxa"/>
            <w:vMerge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3039" w:type="dxa"/>
          </w:tcPr>
          <w:p w:rsidR="004830F3" w:rsidRPr="004830F3" w:rsidRDefault="004830F3" w:rsidP="00C902A1">
            <w:pPr>
              <w:spacing w:after="160" w:line="259" w:lineRule="auto"/>
            </w:pPr>
            <w:r w:rsidRPr="004830F3">
              <w:t>Przenośna aktywna kolumna PA / głośnik nagłośnieniowy (4 sztuki)</w:t>
            </w:r>
          </w:p>
        </w:tc>
        <w:tc>
          <w:tcPr>
            <w:tcW w:w="1623" w:type="dxa"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1486" w:type="dxa"/>
          </w:tcPr>
          <w:p w:rsidR="004830F3" w:rsidRPr="004830F3" w:rsidRDefault="004830F3" w:rsidP="00C902A1">
            <w:pPr>
              <w:spacing w:after="160" w:line="259" w:lineRule="auto"/>
            </w:pPr>
          </w:p>
        </w:tc>
      </w:tr>
      <w:tr w:rsidR="004830F3" w:rsidRPr="004830F3" w:rsidTr="00C902A1">
        <w:trPr>
          <w:trHeight w:val="1020"/>
        </w:trPr>
        <w:tc>
          <w:tcPr>
            <w:tcW w:w="545" w:type="dxa"/>
            <w:vMerge/>
            <w:shd w:val="clear" w:color="auto" w:fill="D9E2F3" w:themeFill="accent1" w:themeFillTint="33"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2595" w:type="dxa"/>
            <w:vMerge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3039" w:type="dxa"/>
          </w:tcPr>
          <w:p w:rsidR="004830F3" w:rsidRPr="004830F3" w:rsidRDefault="004830F3" w:rsidP="00C902A1">
            <w:pPr>
              <w:spacing w:after="160" w:line="259" w:lineRule="auto"/>
            </w:pPr>
            <w:r w:rsidRPr="004830F3">
              <w:t xml:space="preserve">Namiot </w:t>
            </w:r>
            <w:proofErr w:type="spellStart"/>
            <w:r w:rsidRPr="004830F3">
              <w:t>eventowy</w:t>
            </w:r>
            <w:proofErr w:type="spellEnd"/>
            <w:r w:rsidRPr="004830F3">
              <w:t>, nadmuchiwany (3 sztuki)</w:t>
            </w:r>
          </w:p>
        </w:tc>
        <w:tc>
          <w:tcPr>
            <w:tcW w:w="1623" w:type="dxa"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1486" w:type="dxa"/>
          </w:tcPr>
          <w:p w:rsidR="004830F3" w:rsidRPr="004830F3" w:rsidRDefault="004830F3" w:rsidP="00C902A1">
            <w:pPr>
              <w:spacing w:after="160" w:line="259" w:lineRule="auto"/>
            </w:pPr>
          </w:p>
        </w:tc>
      </w:tr>
      <w:tr w:rsidR="004830F3" w:rsidRPr="004830F3" w:rsidTr="00C902A1">
        <w:trPr>
          <w:trHeight w:val="790"/>
        </w:trPr>
        <w:tc>
          <w:tcPr>
            <w:tcW w:w="545" w:type="dxa"/>
            <w:vMerge/>
            <w:shd w:val="clear" w:color="auto" w:fill="D9E2F3" w:themeFill="accent1" w:themeFillTint="33"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2595" w:type="dxa"/>
            <w:vMerge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3039" w:type="dxa"/>
          </w:tcPr>
          <w:p w:rsidR="004830F3" w:rsidRPr="004830F3" w:rsidRDefault="004830F3" w:rsidP="00C902A1">
            <w:pPr>
              <w:spacing w:after="160" w:line="259" w:lineRule="auto"/>
            </w:pPr>
            <w:r w:rsidRPr="004830F3">
              <w:t xml:space="preserve">Drukarka mobilna </w:t>
            </w:r>
          </w:p>
        </w:tc>
        <w:tc>
          <w:tcPr>
            <w:tcW w:w="1623" w:type="dxa"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1486" w:type="dxa"/>
          </w:tcPr>
          <w:p w:rsidR="004830F3" w:rsidRPr="004830F3" w:rsidRDefault="004830F3" w:rsidP="00C902A1">
            <w:pPr>
              <w:spacing w:after="160" w:line="259" w:lineRule="auto"/>
            </w:pPr>
          </w:p>
        </w:tc>
      </w:tr>
      <w:tr w:rsidR="004830F3" w:rsidRPr="004830F3" w:rsidTr="00C902A1">
        <w:trPr>
          <w:trHeight w:val="703"/>
        </w:trPr>
        <w:tc>
          <w:tcPr>
            <w:tcW w:w="545" w:type="dxa"/>
            <w:vMerge/>
            <w:shd w:val="clear" w:color="auto" w:fill="D9E2F3" w:themeFill="accent1" w:themeFillTint="33"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2595" w:type="dxa"/>
            <w:vMerge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3039" w:type="dxa"/>
          </w:tcPr>
          <w:p w:rsidR="004830F3" w:rsidRPr="004830F3" w:rsidRDefault="004830F3" w:rsidP="00C902A1">
            <w:pPr>
              <w:spacing w:after="160" w:line="259" w:lineRule="auto"/>
            </w:pPr>
            <w:r w:rsidRPr="004830F3">
              <w:t>Przenośne urządzenie multimedialne typu tablet (4 sztuki)</w:t>
            </w:r>
          </w:p>
        </w:tc>
        <w:tc>
          <w:tcPr>
            <w:tcW w:w="1623" w:type="dxa"/>
          </w:tcPr>
          <w:p w:rsidR="004830F3" w:rsidRPr="004830F3" w:rsidRDefault="004830F3" w:rsidP="00C902A1">
            <w:pPr>
              <w:spacing w:after="160" w:line="259" w:lineRule="auto"/>
            </w:pPr>
          </w:p>
        </w:tc>
        <w:tc>
          <w:tcPr>
            <w:tcW w:w="1486" w:type="dxa"/>
          </w:tcPr>
          <w:p w:rsidR="004830F3" w:rsidRPr="004830F3" w:rsidRDefault="004830F3" w:rsidP="00C902A1">
            <w:pPr>
              <w:spacing w:after="160" w:line="259" w:lineRule="auto"/>
            </w:pPr>
          </w:p>
        </w:tc>
      </w:tr>
      <w:tr w:rsidR="004830F3" w:rsidRPr="004830F3" w:rsidTr="00C902A1">
        <w:trPr>
          <w:trHeight w:val="703"/>
        </w:trPr>
        <w:tc>
          <w:tcPr>
            <w:tcW w:w="545" w:type="dxa"/>
            <w:shd w:val="clear" w:color="auto" w:fill="D9E2F3" w:themeFill="accent1" w:themeFillTint="33"/>
          </w:tcPr>
          <w:p w:rsidR="004830F3" w:rsidRPr="004830F3" w:rsidRDefault="004830F3" w:rsidP="00C902A1"/>
        </w:tc>
        <w:tc>
          <w:tcPr>
            <w:tcW w:w="8743" w:type="dxa"/>
            <w:gridSpan w:val="4"/>
          </w:tcPr>
          <w:p w:rsidR="004830F3" w:rsidRDefault="004830F3" w:rsidP="00C902A1"/>
          <w:p w:rsidR="004830F3" w:rsidRPr="004830F3" w:rsidRDefault="004830F3" w:rsidP="00C902A1">
            <w:r w:rsidRPr="004830F3">
              <w:rPr>
                <w:b/>
              </w:rPr>
              <w:t>Łączny koszt BRUTTO</w:t>
            </w:r>
          </w:p>
        </w:tc>
      </w:tr>
    </w:tbl>
    <w:p w:rsidR="006739FB" w:rsidRPr="00A347C3" w:rsidRDefault="006739FB" w:rsidP="006739FB">
      <w:pPr>
        <w:widowControl w:val="0"/>
        <w:contextualSpacing/>
        <w:jc w:val="both"/>
        <w:rPr>
          <w:rFonts w:ascii="Arial" w:eastAsia="Arial Unicode MS" w:hAnsi="Arial" w:cs="Arial"/>
          <w:kern w:val="3"/>
          <w:sz w:val="20"/>
          <w:szCs w:val="20"/>
        </w:rPr>
      </w:pPr>
      <w:r>
        <w:rPr>
          <w:rFonts w:ascii="Arial" w:eastAsia="Arial Unicode MS" w:hAnsi="Arial" w:cs="Arial"/>
          <w:kern w:val="3"/>
          <w:sz w:val="20"/>
          <w:szCs w:val="20"/>
        </w:rPr>
        <w:t>Wyceny</w:t>
      </w:r>
      <w:r w:rsidRPr="00A347C3">
        <w:rPr>
          <w:rFonts w:ascii="Arial" w:eastAsia="Arial Unicode MS" w:hAnsi="Arial" w:cs="Arial"/>
          <w:kern w:val="3"/>
          <w:sz w:val="20"/>
          <w:szCs w:val="20"/>
        </w:rPr>
        <w:t xml:space="preserve"> należy składać drogą elektroniczną na adresy:  </w:t>
      </w:r>
      <w:r>
        <w:rPr>
          <w:rFonts w:ascii="Arial" w:eastAsia="Arial Unicode MS" w:hAnsi="Arial" w:cs="Arial"/>
          <w:kern w:val="3"/>
          <w:sz w:val="20"/>
          <w:szCs w:val="20"/>
        </w:rPr>
        <w:t>m</w:t>
      </w:r>
      <w:r w:rsidRPr="00A347C3">
        <w:rPr>
          <w:rFonts w:ascii="Arial" w:eastAsia="Arial Unicode MS" w:hAnsi="Arial" w:cs="Arial"/>
          <w:kern w:val="3"/>
          <w:sz w:val="20"/>
          <w:szCs w:val="20"/>
        </w:rPr>
        <w:t>sobiesk</w:t>
      </w:r>
      <w:r>
        <w:rPr>
          <w:rFonts w:ascii="Arial" w:eastAsia="Arial Unicode MS" w:hAnsi="Arial" w:cs="Arial"/>
          <w:kern w:val="3"/>
          <w:sz w:val="20"/>
          <w:szCs w:val="20"/>
        </w:rPr>
        <w:t>i</w:t>
      </w:r>
      <w:r w:rsidRPr="00A347C3">
        <w:rPr>
          <w:rFonts w:ascii="Arial" w:eastAsia="Arial Unicode MS" w:hAnsi="Arial" w:cs="Arial"/>
          <w:kern w:val="3"/>
          <w:sz w:val="20"/>
          <w:szCs w:val="20"/>
        </w:rPr>
        <w:t>@wzp.pl</w:t>
      </w:r>
    </w:p>
    <w:p w:rsidR="006739FB" w:rsidRPr="00A347C3" w:rsidRDefault="006739FB" w:rsidP="006739FB">
      <w:pPr>
        <w:widowControl w:val="0"/>
        <w:contextualSpacing/>
        <w:jc w:val="both"/>
        <w:rPr>
          <w:rFonts w:ascii="Arial" w:eastAsia="Arial Unicode MS" w:hAnsi="Arial" w:cs="Arial"/>
          <w:kern w:val="3"/>
          <w:sz w:val="20"/>
          <w:szCs w:val="20"/>
        </w:rPr>
      </w:pPr>
      <w:r w:rsidRPr="00A347C3">
        <w:rPr>
          <w:rFonts w:ascii="Arial" w:eastAsia="Arial Unicode MS" w:hAnsi="Arial" w:cs="Arial"/>
          <w:kern w:val="3"/>
          <w:sz w:val="20"/>
          <w:szCs w:val="20"/>
        </w:rPr>
        <w:t>Termin: do 1</w:t>
      </w:r>
      <w:r>
        <w:rPr>
          <w:rFonts w:ascii="Arial" w:eastAsia="Arial Unicode MS" w:hAnsi="Arial" w:cs="Arial"/>
          <w:kern w:val="3"/>
          <w:sz w:val="20"/>
          <w:szCs w:val="20"/>
        </w:rPr>
        <w:t>8</w:t>
      </w:r>
      <w:r w:rsidRPr="00A347C3">
        <w:rPr>
          <w:rFonts w:ascii="Arial" w:eastAsia="Arial Unicode MS" w:hAnsi="Arial" w:cs="Arial"/>
          <w:kern w:val="3"/>
          <w:sz w:val="20"/>
          <w:szCs w:val="20"/>
        </w:rPr>
        <w:t xml:space="preserve"> </w:t>
      </w:r>
      <w:r>
        <w:rPr>
          <w:rFonts w:ascii="Arial" w:eastAsia="Arial Unicode MS" w:hAnsi="Arial" w:cs="Arial"/>
          <w:kern w:val="3"/>
          <w:sz w:val="20"/>
          <w:szCs w:val="20"/>
        </w:rPr>
        <w:t>września</w:t>
      </w:r>
      <w:r w:rsidRPr="00A347C3">
        <w:rPr>
          <w:rFonts w:ascii="Arial" w:eastAsia="Arial Unicode MS" w:hAnsi="Arial" w:cs="Arial"/>
          <w:kern w:val="3"/>
          <w:sz w:val="20"/>
          <w:szCs w:val="20"/>
        </w:rPr>
        <w:t xml:space="preserve"> 2025 r. do godziny 12:00</w:t>
      </w:r>
    </w:p>
    <w:p w:rsidR="006739FB" w:rsidRPr="00CC75F3" w:rsidRDefault="006739FB" w:rsidP="006739FB">
      <w:pPr>
        <w:widowControl w:val="0"/>
        <w:contextualSpacing/>
        <w:jc w:val="both"/>
        <w:rPr>
          <w:rFonts w:ascii="Arial" w:eastAsia="Arial Unicode MS" w:hAnsi="Arial" w:cs="Arial"/>
          <w:kern w:val="3"/>
          <w:sz w:val="20"/>
          <w:szCs w:val="20"/>
        </w:rPr>
      </w:pPr>
      <w:r w:rsidRPr="00A347C3">
        <w:rPr>
          <w:rFonts w:ascii="Arial" w:eastAsia="Arial Unicode MS" w:hAnsi="Arial" w:cs="Arial"/>
          <w:kern w:val="3"/>
          <w:sz w:val="20"/>
          <w:szCs w:val="20"/>
        </w:rPr>
        <w:t xml:space="preserve">Osoba do kontaktu w przedmiotowej sprawie: </w:t>
      </w:r>
      <w:r>
        <w:rPr>
          <w:rFonts w:ascii="Arial" w:eastAsia="Arial Unicode MS" w:hAnsi="Arial" w:cs="Arial"/>
          <w:kern w:val="3"/>
          <w:sz w:val="20"/>
          <w:szCs w:val="20"/>
        </w:rPr>
        <w:t>Miłosz</w:t>
      </w:r>
      <w:r w:rsidRPr="00A347C3">
        <w:rPr>
          <w:rFonts w:ascii="Arial" w:eastAsia="Arial Unicode MS" w:hAnsi="Arial" w:cs="Arial"/>
          <w:kern w:val="3"/>
          <w:sz w:val="20"/>
          <w:szCs w:val="20"/>
        </w:rPr>
        <w:t xml:space="preserve"> Sobiesk</w:t>
      </w:r>
      <w:r>
        <w:rPr>
          <w:rFonts w:ascii="Arial" w:eastAsia="Arial Unicode MS" w:hAnsi="Arial" w:cs="Arial"/>
          <w:kern w:val="3"/>
          <w:sz w:val="20"/>
          <w:szCs w:val="20"/>
        </w:rPr>
        <w:t>i</w:t>
      </w:r>
      <w:r w:rsidRPr="00A347C3">
        <w:rPr>
          <w:rFonts w:ascii="Arial" w:eastAsia="Arial Unicode MS" w:hAnsi="Arial" w:cs="Arial"/>
          <w:kern w:val="3"/>
          <w:sz w:val="20"/>
          <w:szCs w:val="20"/>
        </w:rPr>
        <w:t xml:space="preserve"> – 91 454 294</w:t>
      </w:r>
      <w:r>
        <w:rPr>
          <w:rFonts w:ascii="Arial" w:eastAsia="Arial Unicode MS" w:hAnsi="Arial" w:cs="Arial"/>
          <w:kern w:val="3"/>
          <w:sz w:val="20"/>
          <w:szCs w:val="20"/>
        </w:rPr>
        <w:t>5</w:t>
      </w:r>
      <w:r w:rsidRPr="00A347C3">
        <w:rPr>
          <w:rFonts w:ascii="Arial" w:eastAsia="Arial Unicode MS" w:hAnsi="Arial" w:cs="Arial"/>
          <w:kern w:val="3"/>
          <w:sz w:val="20"/>
          <w:szCs w:val="20"/>
        </w:rPr>
        <w:t xml:space="preserve">, </w:t>
      </w:r>
      <w:r>
        <w:rPr>
          <w:rFonts w:ascii="Arial" w:eastAsia="Arial Unicode MS" w:hAnsi="Arial" w:cs="Arial"/>
          <w:kern w:val="3"/>
          <w:sz w:val="20"/>
          <w:szCs w:val="20"/>
        </w:rPr>
        <w:t>m</w:t>
      </w:r>
      <w:r w:rsidRPr="00A347C3">
        <w:rPr>
          <w:rFonts w:ascii="Arial" w:eastAsia="Arial Unicode MS" w:hAnsi="Arial" w:cs="Arial"/>
          <w:kern w:val="3"/>
          <w:sz w:val="20"/>
          <w:szCs w:val="20"/>
        </w:rPr>
        <w:t>sobiesk</w:t>
      </w:r>
      <w:r>
        <w:rPr>
          <w:rFonts w:ascii="Arial" w:eastAsia="Arial Unicode MS" w:hAnsi="Arial" w:cs="Arial"/>
          <w:kern w:val="3"/>
          <w:sz w:val="20"/>
          <w:szCs w:val="20"/>
        </w:rPr>
        <w:t>i</w:t>
      </w:r>
      <w:r w:rsidRPr="00A347C3">
        <w:rPr>
          <w:rFonts w:ascii="Arial" w:eastAsia="Arial Unicode MS" w:hAnsi="Arial" w:cs="Arial"/>
          <w:kern w:val="3"/>
          <w:sz w:val="20"/>
          <w:szCs w:val="20"/>
        </w:rPr>
        <w:t>@wzp.pl</w:t>
      </w:r>
    </w:p>
    <w:p w:rsidR="004830F3" w:rsidRDefault="004830F3"/>
    <w:sectPr w:rsidR="004830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8D3" w:rsidRDefault="009718D3" w:rsidP="004830F3">
      <w:pPr>
        <w:spacing w:after="0" w:line="240" w:lineRule="auto"/>
      </w:pPr>
      <w:r>
        <w:separator/>
      </w:r>
    </w:p>
  </w:endnote>
  <w:endnote w:type="continuationSeparator" w:id="0">
    <w:p w:rsidR="009718D3" w:rsidRDefault="009718D3" w:rsidP="0048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8D3" w:rsidRDefault="009718D3" w:rsidP="004830F3">
      <w:pPr>
        <w:spacing w:after="0" w:line="240" w:lineRule="auto"/>
      </w:pPr>
      <w:r>
        <w:separator/>
      </w:r>
    </w:p>
  </w:footnote>
  <w:footnote w:type="continuationSeparator" w:id="0">
    <w:p w:rsidR="009718D3" w:rsidRDefault="009718D3" w:rsidP="0048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8BD" w:rsidRDefault="00A148BD">
    <w:pPr>
      <w:pStyle w:val="Nagwek"/>
    </w:pPr>
    <w:r>
      <w:rPr>
        <w:noProof/>
      </w:rPr>
      <w:drawing>
        <wp:inline distT="0" distB="0" distL="0" distR="0">
          <wp:extent cx="5743575" cy="4762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F3"/>
    <w:rsid w:val="0009073E"/>
    <w:rsid w:val="004830F3"/>
    <w:rsid w:val="004F790C"/>
    <w:rsid w:val="00560E60"/>
    <w:rsid w:val="006739FB"/>
    <w:rsid w:val="007E103B"/>
    <w:rsid w:val="00952F16"/>
    <w:rsid w:val="009718D3"/>
    <w:rsid w:val="00985D59"/>
    <w:rsid w:val="00A148BD"/>
    <w:rsid w:val="00AB482E"/>
    <w:rsid w:val="00C902A1"/>
    <w:rsid w:val="00CB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C4B6E"/>
  <w15:chartTrackingRefBased/>
  <w15:docId w15:val="{E11790EB-37F6-46BB-A804-C5BC263D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0F3"/>
  </w:style>
  <w:style w:type="paragraph" w:styleId="Stopka">
    <w:name w:val="footer"/>
    <w:basedOn w:val="Normalny"/>
    <w:link w:val="StopkaZnak"/>
    <w:uiPriority w:val="99"/>
    <w:unhideWhenUsed/>
    <w:rsid w:val="0048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Sobieski</dc:creator>
  <cp:keywords/>
  <dc:description/>
  <cp:lastModifiedBy>Justyna Sobieska</cp:lastModifiedBy>
  <cp:revision>6</cp:revision>
  <dcterms:created xsi:type="dcterms:W3CDTF">2025-09-09T09:06:00Z</dcterms:created>
  <dcterms:modified xsi:type="dcterms:W3CDTF">2025-09-12T07:15:00Z</dcterms:modified>
</cp:coreProperties>
</file>