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70" w:rsidRPr="004704D5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1a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4704D5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831"/>
        <w:gridCol w:w="9694"/>
      </w:tblGrid>
      <w:tr w:rsidR="003C2185" w:rsidRPr="004704D5" w:rsidTr="00817AA2">
        <w:trPr>
          <w:trHeight w:val="994"/>
        </w:trPr>
        <w:tc>
          <w:tcPr>
            <w:tcW w:w="1878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4704D5" w:rsidRDefault="00817AA2" w:rsidP="00817AA2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SPECYFIKACJA SAMOCHODÓW OSOBOWYCH OFEROWANYCH 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W CZĘŚCI NR 1. </w:t>
            </w:r>
            <w:r w:rsidRPr="00470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NAJEM 4 SAMOCHODÓW OSOBOWYCH – TYP LIMUZYNA</w:t>
            </w:r>
          </w:p>
        </w:tc>
      </w:tr>
    </w:tbl>
    <w:p w:rsidR="00817AA2" w:rsidRPr="004704D5" w:rsidRDefault="00817AA2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publicznym prowadzonym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trybie przetargu nieograniczonego</w:t>
      </w:r>
      <w:r w:rsidR="006E0B94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wartości </w:t>
      </w:r>
      <w:r w:rsidR="0088611A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437FDB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="00777609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4704D5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Najem długoterminowy i dostawę samochodów osobowych na potrzeby Urzędu Marszałkowskiego Województwa Zachodniopomorskiego</w:t>
      </w: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zakresie: 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</w:p>
    <w:p w:rsidR="002C1511" w:rsidRPr="004704D5" w:rsidRDefault="00817AA2" w:rsidP="00817AA2">
      <w:pPr>
        <w:spacing w:before="120" w:after="120" w:line="300" w:lineRule="exact"/>
        <w:jc w:val="center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4704D5">
        <w:rPr>
          <w:rFonts w:ascii="Arial" w:eastAsia="Times New Roman" w:hAnsi="Arial" w:cs="Arial"/>
          <w:b/>
          <w:bCs/>
          <w:sz w:val="28"/>
          <w:szCs w:val="20"/>
          <w:lang w:eastAsia="pl-PL"/>
        </w:rPr>
        <w:t>Część nr 1. Najem 4 samochodów osobowych – typ limuzyna</w:t>
      </w:r>
    </w:p>
    <w:p w:rsidR="00D71B9E" w:rsidRPr="004704D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4704D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704D5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Pr="004704D5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 xml:space="preserve">Oferuję/emy udostępnienie na potrzeby najmu długoterminowego czterech następujących samochodów osobowych: </w:t>
      </w: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Typ samochodu osobowego</w:t>
            </w: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704D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(np. limuzyna)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5859D3" w:rsidRPr="004704D5" w:rsidRDefault="005859D3" w:rsidP="005859D3">
      <w:pPr>
        <w:pStyle w:val="Akapitzlist"/>
        <w:autoSpaceDE w:val="0"/>
        <w:autoSpaceDN w:val="0"/>
        <w:spacing w:before="120" w:after="120" w:line="36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Składam/y informację o parametrach techniczno–eksploatacyjnych i wyposażeniu oferowanych samochodów osobowych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Pr="004704D5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 SIWZ)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1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E5696B">
        <w:rPr>
          <w:rFonts w:ascii="Arial" w:hAnsi="Arial" w:cs="Arial"/>
          <w:sz w:val="16"/>
          <w:szCs w:val="16"/>
        </w:rPr>
        <w:br/>
      </w:r>
      <w:r w:rsidRPr="004704D5">
        <w:rPr>
          <w:rFonts w:ascii="Arial" w:hAnsi="Arial" w:cs="Arial"/>
          <w:sz w:val="16"/>
          <w:szCs w:val="16"/>
        </w:rPr>
        <w:t>(np. „SPEŁNIA", „TAK", „ZGODNIE Z SIWZ"</w:t>
      </w:r>
      <w:r w:rsidR="00817AA2" w:rsidRPr="004704D5">
        <w:rPr>
          <w:rFonts w:ascii="Arial" w:hAnsi="Arial" w:cs="Arial"/>
          <w:sz w:val="16"/>
          <w:szCs w:val="16"/>
        </w:rPr>
        <w:t xml:space="preserve"> itp.).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>
        <w:rPr>
          <w:rFonts w:ascii="Arial" w:hAnsi="Arial" w:cs="Arial"/>
          <w:sz w:val="16"/>
          <w:szCs w:val="16"/>
        </w:rPr>
        <w:t>produkt i/lub rozwiązani</w:t>
      </w:r>
      <w:r w:rsidR="00E5696B">
        <w:rPr>
          <w:rFonts w:ascii="Arial" w:hAnsi="Arial" w:cs="Arial"/>
          <w:sz w:val="16"/>
          <w:szCs w:val="16"/>
        </w:rPr>
        <w:t>e</w:t>
      </w:r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>niż określone w SIWZ,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  <w:bookmarkStart w:id="1" w:name="_GoBack"/>
      <w:bookmarkEnd w:id="1"/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3"/>
        <w:gridCol w:w="7687"/>
        <w:gridCol w:w="5271"/>
      </w:tblGrid>
      <w:tr w:rsidR="00817AA2" w:rsidRPr="004704D5" w:rsidTr="00817AA2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704D5" w:rsidTr="00817AA2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859D3" w:rsidRPr="004704D5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59D3" w:rsidRPr="004704D5" w:rsidRDefault="005859D3" w:rsidP="00817AA2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SIWZ</w:t>
            </w:r>
            <w:r w:rsidRPr="004704D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4704D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817AA2" w:rsidRPr="004704D5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817AA2" w:rsidRPr="004704D5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2018, 2019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1C4BB6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Pojazd fabrycznie nowy / demonstracyjny o przebiegu nie większym niż 1000 km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A55E7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Silnik: </w:t>
            </w: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Moc silnika nie mniejsza niż 160 kW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A2" w:rsidRPr="004704D5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5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Pojemność silnika od 1900 do 2500 cm</w:t>
            </w: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6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skrzyni biegów: automatyczna nie mniej niż 6 stopniowa / automatyczna dwusprzęgłowa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lastRenderedPageBreak/>
              <w:t>Nadwozie i podwozie</w:t>
            </w: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5859D3" w:rsidRPr="004704D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Typ limuzyna</w:t>
            </w: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: sedan / liftback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8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4.800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9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Rozstaw osi minimum 2.800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10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Pojemność zbiornika paliwa nie mniejsza niż 60 l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11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12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Liczba  miejsc: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13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Reflektory przednie: bi-ksenonowe / bi-ksenonowe z światłami dziennymi LED / LED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14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Przednie światła z funkcją doświetlania zakrętów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15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Funkcja automatycznego wyłączania i włączania świateł drogowych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16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podgrzewane, składane,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17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Elektrycznie sterowane szyby boczne (przód i tył)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18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19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Podgrzewane dysze spryskiwaczy przedniej szyby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Kolor nadwozia (taki sam dla każdego z oferowanych pojazdów): czarny metalizowany lub czarny perłowy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21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 xml:space="preserve">Przyciemniane fabrycznie wszystkie szyby, </w:t>
            </w:r>
            <w:r w:rsidRPr="004704D5">
              <w:rPr>
                <w:rFonts w:ascii="Arial" w:hAnsi="Arial" w:cs="Arial"/>
                <w:sz w:val="20"/>
                <w:szCs w:val="20"/>
              </w:rPr>
              <w:t>dodatkowo szyby tylne i szyby boczne tylne oklejone folią przyciemniającą o przepuszczalności promieni słonecznych 5%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7AA2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22</w:t>
            </w:r>
            <w:r w:rsidR="005859D3" w:rsidRPr="004704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Klamki drzwi, lusterka zewnętrzne i zderzaki w kolorze nadwozia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Funkcja monitorowania martwego pola w lusterkach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Funkcja monitorowania pasa ruchu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Funkcja monitorowania zmęczenia kierowcy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Aktywny tempomat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 i z tyłu (zewnętrzne miejsca tylnej kanapy)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Poduszka powietrzna chroniąca kolana kierowcy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lastRenderedPageBreak/>
              <w:t>Układ jezdny</w:t>
            </w: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Obręcze kół ze stopów lekkich o średnicy co najmniej 17”, ogumienie fabrycznie nowe,  montowane przez producenta pojazdu, wyprodukowane nie wcześniej niż w 2018 r.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Klimatyzacja automatyczna co najmniej dwustrefowa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5859D3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sz w:val="20"/>
                <w:szCs w:val="20"/>
              </w:rPr>
              <w:t>Wbudowany system multimedialny posiadający funkcje:</w:t>
            </w:r>
          </w:p>
          <w:p w:rsidR="005859D3" w:rsidRPr="004704D5" w:rsidRDefault="005859D3" w:rsidP="005859D3">
            <w:pPr>
              <w:pStyle w:val="Akapitzlist"/>
              <w:numPr>
                <w:ilvl w:val="0"/>
                <w:numId w:val="12"/>
              </w:numPr>
              <w:spacing w:before="120" w:after="120" w:line="240" w:lineRule="exact"/>
              <w:ind w:left="262" w:hanging="2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sz w:val="20"/>
                <w:szCs w:val="20"/>
              </w:rPr>
              <w:t>radioodtwarzacza CD/ MP3, SD</w:t>
            </w:r>
          </w:p>
          <w:p w:rsidR="005859D3" w:rsidRPr="004704D5" w:rsidRDefault="005859D3" w:rsidP="005859D3">
            <w:pPr>
              <w:pStyle w:val="Akapitzlist"/>
              <w:numPr>
                <w:ilvl w:val="0"/>
                <w:numId w:val="12"/>
              </w:numPr>
              <w:spacing w:before="120" w:after="120" w:line="240" w:lineRule="exact"/>
              <w:ind w:left="262" w:hanging="2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sz w:val="20"/>
                <w:szCs w:val="20"/>
              </w:rPr>
              <w:t>-bluetooth z obsługą WLAN,</w:t>
            </w:r>
          </w:p>
          <w:p w:rsidR="005859D3" w:rsidRPr="004704D5" w:rsidRDefault="005859D3" w:rsidP="005859D3">
            <w:pPr>
              <w:pStyle w:val="Akapitzlist"/>
              <w:numPr>
                <w:ilvl w:val="0"/>
                <w:numId w:val="12"/>
              </w:numPr>
              <w:spacing w:before="120" w:after="120" w:line="240" w:lineRule="exact"/>
              <w:ind w:left="262" w:hanging="2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sz w:val="20"/>
                <w:szCs w:val="20"/>
              </w:rPr>
              <w:t>współpraca z telefonami / smartfonami (system Android, iOs),</w:t>
            </w:r>
          </w:p>
          <w:p w:rsidR="005859D3" w:rsidRPr="004704D5" w:rsidRDefault="005859D3" w:rsidP="005859D3">
            <w:pPr>
              <w:pStyle w:val="Akapitzlist"/>
              <w:numPr>
                <w:ilvl w:val="0"/>
                <w:numId w:val="12"/>
              </w:numPr>
              <w:spacing w:before="120" w:after="120" w:line="240" w:lineRule="exact"/>
              <w:ind w:left="262" w:hanging="26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Cs/>
                <w:sz w:val="20"/>
                <w:szCs w:val="20"/>
              </w:rPr>
              <w:t>kierownica wielofunkcyjna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Wbudowany system nawigacji satelitarnej z mapą Polski i Europy aktualizowany bezpłatnie nie rzadziej niż raz na 12 miesięcy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Komputer pokładowy z kolorowym wyświetlaczem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Fabrycznie wbudowane czujniki parkowania: tył i przód z sygnalizacją odległości od przeszkody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Fabrycznie wbudowana kamera cofania (kamera z tyłu pojazdu)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Co najmniej 2 gniazda zasilania 12V w kabinie (w tym jedno z tyłu),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Fotel kierowcy i pasażera z regulacją elektryczną wysokości, pochylenia oparcia i podparcia odcinka lędźwiowego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Podgrzewane fotele przednie i zewnętrzne miejsca tylnej kanapy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AC2AF0">
        <w:trPr>
          <w:trHeight w:val="50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welurowy /tekstylne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817AA2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04D5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A5227" w:rsidRPr="004704D5" w:rsidRDefault="005A5227" w:rsidP="005A5227">
      <w:pPr>
        <w:pStyle w:val="Akapitzlist"/>
        <w:autoSpaceDE w:val="0"/>
        <w:autoSpaceDN w:val="0"/>
        <w:spacing w:before="120" w:after="120" w:line="36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5859D3" w:rsidRPr="004704D5" w:rsidRDefault="005859D3" w:rsidP="005859D3">
      <w:pPr>
        <w:pStyle w:val="Akapitzlist"/>
        <w:numPr>
          <w:ilvl w:val="0"/>
          <w:numId w:val="2"/>
        </w:numPr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Oferuję/emy następujące dodatkowe systemy i elementy wyposażenia pojazdów (samochodów osobowych)</w:t>
      </w:r>
      <w:r w:rsidR="001F56C4" w:rsidRPr="004704D5">
        <w:rPr>
          <w:rFonts w:ascii="Arial" w:hAnsi="Arial" w:cs="Arial"/>
          <w:b/>
          <w:sz w:val="20"/>
          <w:szCs w:val="20"/>
        </w:rPr>
        <w:t xml:space="preserve"> </w:t>
      </w:r>
      <w:r w:rsidR="001F56C4" w:rsidRPr="004704D5">
        <w:rPr>
          <w:rStyle w:val="Odwoanieprzypisudolnego"/>
          <w:rFonts w:ascii="Arial" w:hAnsi="Arial"/>
          <w:b/>
          <w:sz w:val="24"/>
          <w:szCs w:val="20"/>
        </w:rPr>
        <w:footnoteReference w:id="1"/>
      </w:r>
      <w:r w:rsidRPr="004704D5">
        <w:rPr>
          <w:rFonts w:ascii="Arial" w:hAnsi="Arial" w:cs="Arial"/>
          <w:b/>
          <w:sz w:val="20"/>
          <w:szCs w:val="20"/>
        </w:rPr>
        <w:t>:</w:t>
      </w:r>
    </w:p>
    <w:p w:rsidR="005A5227" w:rsidRPr="004704D5" w:rsidRDefault="005A5227" w:rsidP="005A5227">
      <w:pPr>
        <w:pStyle w:val="Akapitzlist"/>
        <w:autoSpaceDE w:val="0"/>
        <w:autoSpaceDN w:val="0"/>
        <w:spacing w:before="120" w:after="120" w:line="36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817AA2" w:rsidRPr="004704D5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817AA2" w:rsidRPr="004704D5" w:rsidRDefault="00817AA2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W przypadku, gdy Wykonawca oferuje dany DODATKOWY SYSTEM lub ELEMENT WYPOSAŻENIA POJAZDÓW – we właściwym wierszu kolumny nr 2 powinien to jednoznacznie potwierdzić poprzez wpisanie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Pr="004704D5">
        <w:rPr>
          <w:rFonts w:ascii="Arial" w:hAnsi="Arial" w:cs="Arial"/>
          <w:b/>
          <w:sz w:val="16"/>
          <w:szCs w:val="16"/>
        </w:rPr>
        <w:t>odpowiedniego sformułowania</w:t>
      </w:r>
      <w:r w:rsidRPr="004704D5">
        <w:rPr>
          <w:rFonts w:ascii="Arial" w:hAnsi="Arial" w:cs="Arial"/>
          <w:sz w:val="16"/>
          <w:szCs w:val="16"/>
        </w:rPr>
        <w:t xml:space="preserve"> (np. „SPEŁNIA", „TAK", itp.).</w:t>
      </w:r>
    </w:p>
    <w:p w:rsidR="00AC2AF0" w:rsidRPr="004704D5" w:rsidRDefault="00AC2AF0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4674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01"/>
        <w:gridCol w:w="9010"/>
        <w:gridCol w:w="4602"/>
      </w:tblGrid>
      <w:tr w:rsidR="00817AA2" w:rsidRPr="004704D5" w:rsidTr="00817AA2">
        <w:tc>
          <w:tcPr>
            <w:tcW w:w="303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31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704D5" w:rsidTr="00817AA2"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120" w:after="40" w:line="240" w:lineRule="exact"/>
              <w:jc w:val="center"/>
              <w:rPr>
                <w:rFonts w:ascii="Arial" w:hAnsi="Arial" w:cs="Arial"/>
                <w:u w:val="single"/>
              </w:rPr>
            </w:pPr>
            <w:r w:rsidRPr="004704D5">
              <w:rPr>
                <w:rFonts w:ascii="Arial" w:hAnsi="Arial" w:cs="Arial"/>
                <w:u w:val="single"/>
              </w:rPr>
              <w:t>Lp.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115FD8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4704D5">
              <w:rPr>
                <w:rFonts w:ascii="Arial" w:hAnsi="Arial" w:cs="Arial"/>
                <w:u w:val="single"/>
              </w:rPr>
              <w:t>Lista preferowanych / punktowanych</w:t>
            </w:r>
          </w:p>
          <w:p w:rsidR="00817AA2" w:rsidRPr="004704D5" w:rsidRDefault="00817AA2" w:rsidP="00115FD8">
            <w:pPr>
              <w:spacing w:before="120" w:after="80" w:line="240" w:lineRule="exact"/>
              <w:jc w:val="center"/>
              <w:rPr>
                <w:rFonts w:ascii="Arial" w:hAnsi="Arial" w:cs="Arial"/>
                <w:b/>
              </w:rPr>
            </w:pPr>
            <w:r w:rsidRPr="004704D5">
              <w:rPr>
                <w:rFonts w:ascii="Arial" w:hAnsi="Arial" w:cs="Arial"/>
                <w:b/>
              </w:rPr>
              <w:t>Dodatkowych systemów i elementów wyposażenia pojazdów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817AA2" w:rsidRPr="004704D5" w:rsidRDefault="00817AA2" w:rsidP="00817AA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i/>
              </w:rPr>
            </w:pPr>
            <w:r w:rsidRPr="004704D5">
              <w:rPr>
                <w:rFonts w:ascii="Arial" w:hAnsi="Arial" w:cs="Arial"/>
                <w:b/>
                <w:i/>
              </w:rPr>
              <w:t xml:space="preserve">Czy Wykonawca oferuje </w:t>
            </w:r>
            <w:r w:rsidRPr="004704D5">
              <w:rPr>
                <w:rFonts w:ascii="Arial" w:hAnsi="Arial" w:cs="Arial"/>
                <w:b/>
                <w:i/>
              </w:rPr>
              <w:br/>
              <w:t xml:space="preserve">dany dodatkowy system lub element wyposażenia pojazdów? </w:t>
            </w:r>
            <w:r w:rsidRPr="004704D5">
              <w:rPr>
                <w:rFonts w:ascii="Arial" w:eastAsia="Times New Roman" w:hAnsi="Arial" w:cs="Arial"/>
                <w:b/>
                <w:sz w:val="28"/>
                <w:szCs w:val="20"/>
                <w:lang w:eastAsia="pl-PL"/>
              </w:rPr>
              <w:t>*</w:t>
            </w:r>
          </w:p>
        </w:tc>
      </w:tr>
      <w:tr w:rsidR="00817AA2" w:rsidRPr="004704D5" w:rsidTr="00817AA2">
        <w:trPr>
          <w:trHeight w:val="567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1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Elektryczna regulacja fotela kierowcy z pamięcią ustawień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AA2" w:rsidRPr="004704D5" w:rsidRDefault="00817AA2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817AA2" w:rsidRPr="004704D5" w:rsidTr="00817AA2">
        <w:trPr>
          <w:trHeight w:val="567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2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Reflektory LED (światła mijania i drogowe)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AA2" w:rsidRPr="004704D5" w:rsidRDefault="00817AA2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817AA2" w:rsidRPr="004704D5" w:rsidTr="00817AA2">
        <w:trPr>
          <w:trHeight w:val="567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3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Klimatyzacja  trójstrefowa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AA2" w:rsidRPr="004704D5" w:rsidRDefault="00817AA2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817AA2" w:rsidRPr="004704D5" w:rsidTr="00817AA2">
        <w:trPr>
          <w:trHeight w:val="567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4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Elektrycznie sterowana pokrywa bagażnika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AA2" w:rsidRPr="004704D5" w:rsidRDefault="00817AA2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817AA2" w:rsidRPr="004704D5" w:rsidTr="00817AA2">
        <w:trPr>
          <w:trHeight w:val="567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5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System wzmocnienia sygnału telefonu przez instalację pojazdu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AA2" w:rsidRPr="004704D5" w:rsidRDefault="00817AA2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817AA2" w:rsidRPr="004704D5" w:rsidTr="00817AA2">
        <w:trPr>
          <w:trHeight w:val="567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6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Gniazdo 230 V w kabinie pasażerskiej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7AA2" w:rsidRPr="004704D5" w:rsidRDefault="00817AA2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817AA2" w:rsidRPr="004704D5" w:rsidTr="00817AA2">
        <w:trPr>
          <w:trHeight w:val="567"/>
        </w:trPr>
        <w:tc>
          <w:tcPr>
            <w:tcW w:w="30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  <w:r w:rsidRPr="004704D5">
              <w:rPr>
                <w:rFonts w:ascii="Arial" w:hAnsi="Arial" w:cs="Arial"/>
              </w:rPr>
              <w:t>7</w:t>
            </w:r>
          </w:p>
        </w:tc>
        <w:tc>
          <w:tcPr>
            <w:tcW w:w="31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A2" w:rsidRPr="004704D5" w:rsidRDefault="00817AA2" w:rsidP="00115FD8">
            <w:pPr>
              <w:spacing w:before="80" w:after="80" w:line="240" w:lineRule="exact"/>
              <w:rPr>
                <w:rFonts w:ascii="Arial" w:hAnsi="Arial" w:cs="Arial"/>
                <w:b/>
                <w:bCs/>
                <w:color w:val="4F81BD" w:themeColor="accent1"/>
                <w:szCs w:val="24"/>
              </w:rPr>
            </w:pPr>
            <w:r w:rsidRPr="004704D5">
              <w:rPr>
                <w:rFonts w:ascii="Arial" w:hAnsi="Arial" w:cs="Arial"/>
              </w:rPr>
              <w:t xml:space="preserve">Pełnowymiarowe koło zapasowe na obręczy aluminiowej, w takim rozmiarze </w:t>
            </w:r>
            <w:r w:rsidRPr="004704D5">
              <w:rPr>
                <w:rFonts w:ascii="Arial" w:hAnsi="Arial" w:cs="Arial"/>
              </w:rPr>
              <w:br/>
              <w:t>jak zamontowane w pojeździe, umieszczone w dedykowanym do tego celu miejscu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17AA2" w:rsidRPr="004704D5" w:rsidRDefault="00817AA2" w:rsidP="00817AA2">
            <w:pPr>
              <w:spacing w:before="80" w:after="80"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AC2AF0" w:rsidRPr="004704D5" w:rsidRDefault="00AC2AF0" w:rsidP="005A5227">
      <w:pPr>
        <w:pStyle w:val="Akapitzlist"/>
        <w:autoSpaceDE w:val="0"/>
        <w:autoSpaceDN w:val="0"/>
        <w:spacing w:before="240" w:after="2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5859D3" w:rsidRPr="004704D5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Każdy z oferowanych z samochodów osobowych:</w:t>
      </w:r>
    </w:p>
    <w:p w:rsidR="005A5227" w:rsidRPr="004704D5" w:rsidRDefault="005A5227" w:rsidP="005A5227">
      <w:pPr>
        <w:pStyle w:val="Akapitzlist"/>
        <w:autoSpaceDE w:val="0"/>
        <w:autoSpaceDN w:val="0"/>
        <w:spacing w:before="240" w:after="240" w:line="36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5859D3" w:rsidRPr="004704D5" w:rsidRDefault="005859D3" w:rsidP="005859D3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Zużywa średnio (cykl mieszany miejski/pozamiejski) ……………….. litrów benzyny na 100 km</w:t>
      </w:r>
      <w:r w:rsidR="00817AA2" w:rsidRPr="004704D5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2"/>
      </w:r>
      <w:r w:rsidRPr="004704D5">
        <w:rPr>
          <w:rFonts w:ascii="Arial" w:hAnsi="Arial" w:cs="Arial"/>
          <w:b/>
          <w:sz w:val="20"/>
          <w:szCs w:val="20"/>
        </w:rPr>
        <w:t>.</w:t>
      </w:r>
    </w:p>
    <w:p w:rsidR="005A5227" w:rsidRPr="004704D5" w:rsidRDefault="005A5227" w:rsidP="005A5227">
      <w:pPr>
        <w:pStyle w:val="Akapitzlist"/>
        <w:autoSpaceDE w:val="0"/>
        <w:autoSpaceDN w:val="0"/>
        <w:spacing w:before="120" w:after="12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5859D3" w:rsidRPr="004704D5" w:rsidRDefault="005859D3" w:rsidP="005859D3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Emituje średnio (cykl mieszany miejski/pozamiejski) ……………….. gramów CO</w:t>
      </w:r>
      <w:r w:rsidRPr="004704D5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4704D5">
        <w:rPr>
          <w:rFonts w:ascii="Arial" w:hAnsi="Arial" w:cs="Arial"/>
          <w:b/>
          <w:sz w:val="20"/>
          <w:szCs w:val="20"/>
        </w:rPr>
        <w:t xml:space="preserve"> (dwutlenku węgla) na 1 km</w:t>
      </w:r>
      <w:r w:rsidR="00817AA2" w:rsidRPr="004704D5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4704D5">
        <w:rPr>
          <w:rFonts w:ascii="Arial" w:hAnsi="Arial" w:cs="Arial"/>
          <w:b/>
          <w:sz w:val="20"/>
          <w:szCs w:val="20"/>
        </w:rPr>
        <w:t>.</w:t>
      </w:r>
    </w:p>
    <w:p w:rsidR="005A5227" w:rsidRPr="004704D5" w:rsidRDefault="005A5227" w:rsidP="005A5227">
      <w:pPr>
        <w:autoSpaceDE w:val="0"/>
        <w:autoSpaceDN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</w:p>
    <w:p w:rsidR="005859D3" w:rsidRPr="004704D5" w:rsidRDefault="005859D3" w:rsidP="005859D3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Emituje średnio (cykl mieszany miejski/pozamiejski) …………………………………….. gramów zanieczyszczeń na 1 km, w tym: NO</w:t>
      </w:r>
      <w:r w:rsidRPr="004704D5">
        <w:rPr>
          <w:rFonts w:ascii="Arial" w:hAnsi="Arial" w:cs="Arial"/>
          <w:b/>
          <w:sz w:val="20"/>
          <w:szCs w:val="20"/>
          <w:vertAlign w:val="subscript"/>
        </w:rPr>
        <w:t>x</w:t>
      </w:r>
      <w:r w:rsidRPr="004704D5">
        <w:rPr>
          <w:rFonts w:ascii="Arial" w:hAnsi="Arial" w:cs="Arial"/>
          <w:b/>
          <w:sz w:val="20"/>
          <w:szCs w:val="20"/>
        </w:rPr>
        <w:t xml:space="preserve"> (tlenków azotu), </w:t>
      </w:r>
      <w:r w:rsidRPr="004704D5">
        <w:rPr>
          <w:rFonts w:ascii="Arial" w:hAnsi="Arial" w:cs="Arial"/>
          <w:b/>
          <w:sz w:val="20"/>
          <w:szCs w:val="20"/>
        </w:rPr>
        <w:br/>
        <w:t>HC (węglowodorów), PM (cząstek stałych)</w:t>
      </w:r>
      <w:r w:rsidR="00817AA2" w:rsidRPr="004704D5">
        <w:rPr>
          <w:rFonts w:ascii="Arial" w:hAnsi="Arial" w:cs="Arial"/>
          <w:b/>
          <w:sz w:val="20"/>
          <w:szCs w:val="20"/>
        </w:rPr>
        <w:t xml:space="preserve"> </w:t>
      </w:r>
      <w:r w:rsidR="00817AA2" w:rsidRPr="004704D5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Pr="004704D5">
        <w:rPr>
          <w:rFonts w:ascii="Arial" w:hAnsi="Arial" w:cs="Arial"/>
          <w:b/>
          <w:sz w:val="20"/>
          <w:szCs w:val="20"/>
        </w:rPr>
        <w:t>.</w:t>
      </w:r>
    </w:p>
    <w:bookmarkEnd w:id="0"/>
    <w:p w:rsidR="003D0AD8" w:rsidRPr="004704D5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1C4BB6" w:rsidRPr="004704D5" w:rsidRDefault="001C4BB6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261712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1C4BB6" w:rsidRPr="004704D5" w:rsidRDefault="001C4BB6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817AA2" w:rsidRDefault="00964983" w:rsidP="00595DFF">
      <w:pPr>
        <w:jc w:val="right"/>
        <w:rPr>
          <w:rFonts w:ascii="Arial" w:hAnsi="Arial" w:cs="Arial"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</w:t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sz w:val="24"/>
          <w:szCs w:val="20"/>
          <w:vertAlign w:val="superscript"/>
        </w:rPr>
        <w:tab/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4704D5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817AA2" w:rsidSect="005A522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7C4" w:rsidRDefault="009727C4" w:rsidP="00D71B9E">
      <w:pPr>
        <w:spacing w:after="0" w:line="240" w:lineRule="auto"/>
      </w:pPr>
      <w:r>
        <w:separator/>
      </w:r>
    </w:p>
  </w:endnote>
  <w:endnote w:type="continuationSeparator" w:id="0">
    <w:p w:rsidR="009727C4" w:rsidRDefault="009727C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C7" w:rsidRDefault="00103AC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103AC7" w:rsidRPr="00AE2F32" w:rsidRDefault="00103AC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13E8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13E8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5696B">
      <w:rPr>
        <w:rFonts w:ascii="Arial" w:hAnsi="Arial" w:cs="Arial"/>
        <w:b/>
        <w:bCs/>
        <w:noProof/>
        <w:sz w:val="14"/>
        <w:szCs w:val="14"/>
      </w:rPr>
      <w:t>2</w:t>
    </w:r>
    <w:r w:rsidR="00813E8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13E8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13E8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5696B">
      <w:rPr>
        <w:rFonts w:ascii="Arial" w:hAnsi="Arial" w:cs="Arial"/>
        <w:b/>
        <w:bCs/>
        <w:noProof/>
        <w:sz w:val="14"/>
        <w:szCs w:val="14"/>
      </w:rPr>
      <w:t>8</w:t>
    </w:r>
    <w:r w:rsidR="00813E8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103AC7" w:rsidRDefault="00103AC7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C7" w:rsidRDefault="00103AC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187656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03AC7" w:rsidRPr="00777609" w:rsidRDefault="00103AC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103AC7" w:rsidRPr="0033077C" w:rsidRDefault="00103AC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13E8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13E8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5696B">
      <w:rPr>
        <w:rFonts w:ascii="Arial" w:hAnsi="Arial" w:cs="Arial"/>
        <w:b/>
        <w:bCs/>
        <w:noProof/>
        <w:sz w:val="14"/>
        <w:szCs w:val="14"/>
      </w:rPr>
      <w:t>1</w:t>
    </w:r>
    <w:r w:rsidR="00813E83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13E83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13E83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5696B">
      <w:rPr>
        <w:rFonts w:ascii="Arial" w:hAnsi="Arial" w:cs="Arial"/>
        <w:b/>
        <w:bCs/>
        <w:noProof/>
        <w:sz w:val="14"/>
        <w:szCs w:val="14"/>
      </w:rPr>
      <w:t>8</w:t>
    </w:r>
    <w:r w:rsidR="00813E83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103AC7" w:rsidRDefault="00103A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7C4" w:rsidRDefault="009727C4" w:rsidP="00D71B9E">
      <w:pPr>
        <w:spacing w:after="0" w:line="240" w:lineRule="auto"/>
      </w:pPr>
      <w:r>
        <w:separator/>
      </w:r>
    </w:p>
  </w:footnote>
  <w:footnote w:type="continuationSeparator" w:id="0">
    <w:p w:rsidR="009727C4" w:rsidRDefault="009727C4" w:rsidP="00D71B9E">
      <w:pPr>
        <w:spacing w:after="0" w:line="240" w:lineRule="auto"/>
      </w:pPr>
      <w:r>
        <w:continuationSeparator/>
      </w:r>
    </w:p>
  </w:footnote>
  <w:footnote w:id="1">
    <w:p w:rsidR="00103AC7" w:rsidRPr="00817AA2" w:rsidRDefault="00103AC7" w:rsidP="001F56C4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Informacje podane w poniższej tabeli (w tym pkt) będą podstawą do przyznania punktów w kryterium „</w:t>
      </w:r>
      <w:r w:rsidRPr="001F56C4">
        <w:rPr>
          <w:rFonts w:ascii="Arial" w:hAnsi="Arial" w:cs="Arial"/>
          <w:b/>
          <w:i/>
        </w:rPr>
        <w:t xml:space="preserve">Dodatkowe systemy i elementy wyposażenia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pojazdów</w:t>
      </w:r>
      <w:r>
        <w:rPr>
          <w:rFonts w:ascii="Arial" w:hAnsi="Arial" w:cs="Arial"/>
          <w:b/>
        </w:rPr>
        <w:t>” zgodnie z Rozdziałem XXI pkt 5 SIWZ.</w:t>
      </w:r>
    </w:p>
  </w:footnote>
  <w:footnote w:id="2">
    <w:p w:rsidR="00103AC7" w:rsidRPr="00817AA2" w:rsidRDefault="00103AC7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zużycia energii</w:t>
      </w:r>
      <w:r>
        <w:rPr>
          <w:rFonts w:ascii="Arial" w:hAnsi="Arial" w:cs="Arial"/>
          <w:b/>
        </w:rPr>
        <w:t xml:space="preserve">” zgodnie z Rozdziałem XXI pkt 7 SIWZ. </w:t>
      </w:r>
      <w:r>
        <w:rPr>
          <w:rFonts w:ascii="Arial" w:hAnsi="Arial" w:cs="Arial"/>
          <w:b/>
        </w:rPr>
        <w:br/>
        <w:t xml:space="preserve">   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 </w:t>
      </w:r>
      <w:r w:rsidRPr="005A5227">
        <w:rPr>
          <w:rFonts w:ascii="Arial" w:hAnsi="Arial" w:cs="Arial"/>
        </w:rPr>
        <w:t>do trzech miejsc po przecinku (tj. do 0,001).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>Wskazana przez Wykonawcę ww. wartość będzie służyła tylko do porównania i wyboru najkorzystniejszej oferty.</w:t>
      </w:r>
    </w:p>
  </w:footnote>
  <w:footnote w:id="3">
    <w:p w:rsidR="00103AC7" w:rsidRPr="005A5227" w:rsidRDefault="00103AC7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5A5227">
        <w:rPr>
          <w:rFonts w:ascii="Arial" w:hAnsi="Arial" w:cs="Arial"/>
          <w:b/>
          <w:i/>
        </w:rPr>
        <w:t>Wielkość emisji CO</w:t>
      </w:r>
      <w:r w:rsidRPr="005A5227">
        <w:rPr>
          <w:rFonts w:ascii="Arial" w:hAnsi="Arial" w:cs="Arial"/>
          <w:b/>
          <w:i/>
          <w:vertAlign w:val="subscript"/>
        </w:rPr>
        <w:t>2</w:t>
      </w:r>
      <w:r w:rsidRPr="005A5227">
        <w:rPr>
          <w:rFonts w:ascii="Arial" w:hAnsi="Arial" w:cs="Arial"/>
          <w:b/>
          <w:i/>
        </w:rPr>
        <w:t xml:space="preserve"> (dwutlenku węgla)</w:t>
      </w:r>
      <w:r>
        <w:rPr>
          <w:rFonts w:ascii="Arial" w:hAnsi="Arial" w:cs="Arial"/>
          <w:b/>
        </w:rPr>
        <w:t xml:space="preserve">” zgodnie z Rozdziałem XXI </w:t>
      </w:r>
      <w:r>
        <w:rPr>
          <w:rFonts w:ascii="Arial" w:hAnsi="Arial" w:cs="Arial"/>
          <w:b/>
        </w:rPr>
        <w:br/>
        <w:t xml:space="preserve">    pkt 8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ustalonej dla celów badań homologacyjnych, zaokrąglone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do trzech miejsc 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i wyboru </w:t>
      </w:r>
      <w:r>
        <w:rPr>
          <w:rFonts w:ascii="Arial" w:hAnsi="Arial" w:cs="Arial"/>
        </w:rPr>
        <w:t>najkorzystniejszej oferty.</w:t>
      </w:r>
    </w:p>
  </w:footnote>
  <w:footnote w:id="4">
    <w:p w:rsidR="00103AC7" w:rsidRPr="005A5227" w:rsidRDefault="00103AC7" w:rsidP="005A5227">
      <w:pPr>
        <w:pStyle w:val="Tekstprzypisudolnego"/>
        <w:jc w:val="both"/>
        <w:rPr>
          <w:rFonts w:ascii="Arial" w:hAnsi="Arial" w:cs="Arial"/>
        </w:rPr>
      </w:pPr>
      <w:r w:rsidRPr="00115FD8">
        <w:rPr>
          <w:rStyle w:val="Odwoanieprzypisudolnego"/>
          <w:rFonts w:ascii="Arial" w:hAnsi="Arial" w:cs="Arial"/>
          <w:b/>
          <w:sz w:val="24"/>
        </w:rPr>
        <w:footnoteRef/>
      </w:r>
      <w:r w:rsidRPr="00817AA2">
        <w:rPr>
          <w:rFonts w:ascii="Arial" w:hAnsi="Arial" w:cs="Arial"/>
          <w:sz w:val="24"/>
        </w:rPr>
        <w:t xml:space="preserve"> </w:t>
      </w:r>
      <w:r w:rsidRPr="005A5227">
        <w:rPr>
          <w:rFonts w:ascii="Arial" w:hAnsi="Arial" w:cs="Arial"/>
          <w:b/>
          <w:u w:val="single"/>
        </w:rPr>
        <w:t>UWAGA</w:t>
      </w:r>
      <w:r w:rsidRPr="005A5227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Wskazana wartość będzie podstawą do przyznania punktów w kryterium „</w:t>
      </w:r>
      <w:r w:rsidRPr="001F56C4">
        <w:rPr>
          <w:rFonts w:ascii="Arial" w:hAnsi="Arial" w:cs="Arial"/>
          <w:b/>
          <w:i/>
        </w:rPr>
        <w:t>Wielkość emisji zanieczyszczeń NO</w:t>
      </w:r>
      <w:r w:rsidRPr="001F56C4">
        <w:rPr>
          <w:rFonts w:ascii="Arial" w:hAnsi="Arial" w:cs="Arial"/>
          <w:b/>
          <w:i/>
          <w:vertAlign w:val="subscript"/>
        </w:rPr>
        <w:t>x</w:t>
      </w:r>
      <w:r w:rsidRPr="001F56C4">
        <w:rPr>
          <w:rFonts w:ascii="Arial" w:hAnsi="Arial" w:cs="Arial"/>
          <w:b/>
          <w:i/>
        </w:rPr>
        <w:t xml:space="preserve"> (tlenków azotu), HC (węglowodorów), 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br/>
        <w:t xml:space="preserve">   </w:t>
      </w:r>
      <w:r w:rsidRPr="001F56C4">
        <w:rPr>
          <w:rFonts w:ascii="Arial" w:hAnsi="Arial" w:cs="Arial"/>
          <w:b/>
          <w:i/>
        </w:rPr>
        <w:t>PM (cząstek stałych)</w:t>
      </w:r>
      <w:r>
        <w:rPr>
          <w:rFonts w:ascii="Arial" w:hAnsi="Arial" w:cs="Arial"/>
          <w:b/>
        </w:rPr>
        <w:t xml:space="preserve">” zgodnie z Rozdziałem XXI pkt 9 SIWZ. </w:t>
      </w:r>
      <w:r w:rsidRPr="005A5227">
        <w:rPr>
          <w:rFonts w:ascii="Arial" w:hAnsi="Arial" w:cs="Arial"/>
        </w:rPr>
        <w:t xml:space="preserve">Wartości winny być podawane zgodnie z wynikami pomiarów przeprowadzonych według procedury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 xml:space="preserve">ustalonej dla celów badań homologacyjnych, zaokrąglone </w:t>
      </w:r>
      <w:r>
        <w:rPr>
          <w:rFonts w:ascii="Arial" w:hAnsi="Arial" w:cs="Arial"/>
        </w:rPr>
        <w:t xml:space="preserve">do trzech miejsc </w:t>
      </w:r>
      <w:r w:rsidRPr="005A5227">
        <w:rPr>
          <w:rFonts w:ascii="Arial" w:hAnsi="Arial" w:cs="Arial"/>
        </w:rPr>
        <w:t>po przecinku.</w:t>
      </w:r>
      <w:r>
        <w:rPr>
          <w:rFonts w:ascii="Arial" w:hAnsi="Arial" w:cs="Arial"/>
        </w:rPr>
        <w:t xml:space="preserve"> </w:t>
      </w:r>
      <w:r w:rsidRPr="005A5227">
        <w:rPr>
          <w:rFonts w:ascii="Arial" w:hAnsi="Arial" w:cs="Arial"/>
        </w:rPr>
        <w:t xml:space="preserve">Wskazana przez Wykonawcę ww. wartość będzie służyła tylko do porównania </w:t>
      </w:r>
      <w:r>
        <w:rPr>
          <w:rFonts w:ascii="Arial" w:hAnsi="Arial" w:cs="Arial"/>
        </w:rPr>
        <w:br/>
        <w:t xml:space="preserve">   </w:t>
      </w:r>
      <w:r w:rsidRPr="005A5227">
        <w:rPr>
          <w:rFonts w:ascii="Arial" w:hAnsi="Arial" w:cs="Arial"/>
        </w:rPr>
        <w:t>i wyboru najkorzystniejszej oferty.</w:t>
      </w:r>
    </w:p>
    <w:p w:rsidR="00103AC7" w:rsidRPr="00817AA2" w:rsidRDefault="00103AC7" w:rsidP="005A5227">
      <w:pPr>
        <w:pStyle w:val="Tekstprzypisudolnego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C7" w:rsidRPr="00777609" w:rsidRDefault="00103AC7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C7" w:rsidRPr="0042393D" w:rsidRDefault="00103AC7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29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2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3AC7"/>
    <w:rsid w:val="00104002"/>
    <w:rsid w:val="001128F0"/>
    <w:rsid w:val="00115FD8"/>
    <w:rsid w:val="00127945"/>
    <w:rsid w:val="00130BC6"/>
    <w:rsid w:val="00141036"/>
    <w:rsid w:val="00143F65"/>
    <w:rsid w:val="00146A64"/>
    <w:rsid w:val="001477A3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0AD8"/>
    <w:rsid w:val="003D5AA5"/>
    <w:rsid w:val="003F2B27"/>
    <w:rsid w:val="00406AB4"/>
    <w:rsid w:val="004121A6"/>
    <w:rsid w:val="00413E95"/>
    <w:rsid w:val="0041728A"/>
    <w:rsid w:val="0042393D"/>
    <w:rsid w:val="00424299"/>
    <w:rsid w:val="00426B59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8288A"/>
    <w:rsid w:val="00482A1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859D3"/>
    <w:rsid w:val="005916D6"/>
    <w:rsid w:val="00595DFF"/>
    <w:rsid w:val="005969C0"/>
    <w:rsid w:val="005A3610"/>
    <w:rsid w:val="005A4B08"/>
    <w:rsid w:val="005A5227"/>
    <w:rsid w:val="005A706B"/>
    <w:rsid w:val="005C1242"/>
    <w:rsid w:val="005C2F21"/>
    <w:rsid w:val="005C69E2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75B0B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8294C"/>
    <w:rsid w:val="007910AD"/>
    <w:rsid w:val="007917FA"/>
    <w:rsid w:val="007B0E31"/>
    <w:rsid w:val="007C3737"/>
    <w:rsid w:val="007D67C6"/>
    <w:rsid w:val="007E2252"/>
    <w:rsid w:val="0080189D"/>
    <w:rsid w:val="00807613"/>
    <w:rsid w:val="00813E83"/>
    <w:rsid w:val="008176DE"/>
    <w:rsid w:val="00817AA2"/>
    <w:rsid w:val="00822E5C"/>
    <w:rsid w:val="00833B11"/>
    <w:rsid w:val="00841DA4"/>
    <w:rsid w:val="00856ED8"/>
    <w:rsid w:val="008638F7"/>
    <w:rsid w:val="00871613"/>
    <w:rsid w:val="00876798"/>
    <w:rsid w:val="0088611A"/>
    <w:rsid w:val="00886AE9"/>
    <w:rsid w:val="008A55E7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56C5"/>
    <w:rsid w:val="00A426B8"/>
    <w:rsid w:val="00A44B09"/>
    <w:rsid w:val="00A67767"/>
    <w:rsid w:val="00A75F15"/>
    <w:rsid w:val="00A81478"/>
    <w:rsid w:val="00A86336"/>
    <w:rsid w:val="00A87FC0"/>
    <w:rsid w:val="00AB25AE"/>
    <w:rsid w:val="00AB2F72"/>
    <w:rsid w:val="00AC2AF0"/>
    <w:rsid w:val="00AC6CB5"/>
    <w:rsid w:val="00AE2F32"/>
    <w:rsid w:val="00AF7C70"/>
    <w:rsid w:val="00B021BC"/>
    <w:rsid w:val="00B0288A"/>
    <w:rsid w:val="00B03CF9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1948"/>
    <w:rsid w:val="00BB35D9"/>
    <w:rsid w:val="00BB3E0F"/>
    <w:rsid w:val="00BC5CB7"/>
    <w:rsid w:val="00BC5F62"/>
    <w:rsid w:val="00BD26C5"/>
    <w:rsid w:val="00BD7851"/>
    <w:rsid w:val="00BF0445"/>
    <w:rsid w:val="00BF2FB1"/>
    <w:rsid w:val="00C0205B"/>
    <w:rsid w:val="00C03861"/>
    <w:rsid w:val="00C22780"/>
    <w:rsid w:val="00C34F07"/>
    <w:rsid w:val="00C37C7B"/>
    <w:rsid w:val="00C42AD4"/>
    <w:rsid w:val="00C47C67"/>
    <w:rsid w:val="00C72521"/>
    <w:rsid w:val="00C772F5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696B"/>
    <w:rsid w:val="00E57B1E"/>
    <w:rsid w:val="00E61961"/>
    <w:rsid w:val="00E61BDB"/>
    <w:rsid w:val="00E63BE0"/>
    <w:rsid w:val="00E73E9B"/>
    <w:rsid w:val="00E74E16"/>
    <w:rsid w:val="00E91E83"/>
    <w:rsid w:val="00E92C29"/>
    <w:rsid w:val="00EA0A8B"/>
    <w:rsid w:val="00EA749B"/>
    <w:rsid w:val="00EB0FA4"/>
    <w:rsid w:val="00EB61C4"/>
    <w:rsid w:val="00EC2A7B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7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CCADCF-D550-4C7C-9784-CAC27A0C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0853-16AC-414D-9CF5-D4FDBC8B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</cp:lastModifiedBy>
  <cp:revision>31</cp:revision>
  <cp:lastPrinted>2016-10-13T07:43:00Z</cp:lastPrinted>
  <dcterms:created xsi:type="dcterms:W3CDTF">2017-07-19T07:46:00Z</dcterms:created>
  <dcterms:modified xsi:type="dcterms:W3CDTF">2019-06-28T13:38:00Z</dcterms:modified>
</cp:coreProperties>
</file>