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-986873</wp:posOffset>
            </wp:positionH>
            <wp:positionV relativeFrom="page">
              <wp:posOffset>-127110</wp:posOffset>
            </wp:positionV>
            <wp:extent cx="7712766" cy="10805822"/>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2766" cy="10805822"/>
                    </a:xfrm>
                    <a:prstGeom prst="rect">
                      <a:avLst/>
                    </a:prstGeom>
                  </pic:spPr>
                </pic:pic>
              </a:graphicData>
            </a:graphic>
            <wp14:sizeRelH relativeFrom="margin">
              <wp14:pctWidth>0</wp14:pctWidth>
            </wp14:sizeRelH>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7F51AD">
        <w:rPr>
          <w:rFonts w:ascii="Arial" w:hAnsi="Arial" w:cs="Arial"/>
          <w:b/>
          <w:color w:val="FFFFFF" w:themeColor="background1"/>
          <w:sz w:val="20"/>
          <w:szCs w:val="20"/>
        </w:rPr>
        <w:t xml:space="preserve">8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FB1E80" w:rsidRPr="005743CC" w:rsidRDefault="00E55521" w:rsidP="00FB1E80">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4"/>
        </w:rPr>
        <w:t xml:space="preserve">Oś Priorytetowa </w:t>
      </w:r>
      <w:r w:rsidR="00055A83">
        <w:rPr>
          <w:rFonts w:ascii="Arial" w:hAnsi="Arial" w:cs="Arial"/>
          <w:b/>
          <w:bCs/>
          <w:color w:val="FFFFFF"/>
          <w:sz w:val="20"/>
          <w:szCs w:val="20"/>
          <w:lang w:eastAsia="pl-PL"/>
        </w:rPr>
        <w:t>5</w:t>
      </w:r>
      <w:r w:rsidR="00FB1E80">
        <w:rPr>
          <w:rFonts w:ascii="Arial" w:hAnsi="Arial" w:cs="Arial"/>
          <w:b/>
          <w:bCs/>
          <w:color w:val="FFFFFF"/>
          <w:sz w:val="20"/>
          <w:szCs w:val="20"/>
          <w:lang w:eastAsia="pl-PL"/>
        </w:rPr>
        <w:t xml:space="preserve"> </w:t>
      </w:r>
      <w:r w:rsidR="00055A83">
        <w:rPr>
          <w:rFonts w:ascii="Arial" w:eastAsia="Times New Roman" w:hAnsi="Arial" w:cs="Arial"/>
          <w:b/>
          <w:color w:val="FFFFFF"/>
          <w:sz w:val="20"/>
          <w:szCs w:val="20"/>
        </w:rPr>
        <w:t>Zrównoważony transport</w:t>
      </w:r>
    </w:p>
    <w:p w:rsidR="00E55521" w:rsidRDefault="00E55521" w:rsidP="00362C33">
      <w:pPr>
        <w:jc w:val="center"/>
        <w:rPr>
          <w:rFonts w:ascii="Arial" w:hAnsi="Arial" w:cs="Arial"/>
          <w:b/>
          <w:color w:val="FFFFFF" w:themeColor="background1"/>
          <w:sz w:val="20"/>
          <w:szCs w:val="24"/>
        </w:rPr>
      </w:pPr>
    </w:p>
    <w:p w:rsidR="00E55521" w:rsidRDefault="00E55521" w:rsidP="00055A83">
      <w:pPr>
        <w:spacing w:line="240" w:lineRule="auto"/>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Działanie </w:t>
      </w:r>
      <w:r w:rsidR="00055A83">
        <w:rPr>
          <w:rFonts w:ascii="Arial" w:hAnsi="Arial" w:cs="Arial"/>
          <w:b/>
          <w:color w:val="FFFFFF" w:themeColor="background1"/>
          <w:sz w:val="20"/>
          <w:szCs w:val="24"/>
        </w:rPr>
        <w:t xml:space="preserve">5.4 </w:t>
      </w:r>
      <w:r w:rsidR="00055A83">
        <w:rPr>
          <w:rFonts w:ascii="Arial" w:eastAsia="Times New Roman" w:hAnsi="Arial" w:cs="Arial"/>
          <w:b/>
          <w:bCs/>
          <w:color w:val="FFFFFF"/>
          <w:sz w:val="20"/>
          <w:szCs w:val="20"/>
        </w:rPr>
        <w:t>Budowa i przebudowa dróg powiatowych</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Nabór nr </w:t>
      </w:r>
      <w:r w:rsidR="00055A83">
        <w:rPr>
          <w:rFonts w:ascii="Arial" w:hAnsi="Arial" w:cs="Arial"/>
          <w:b/>
          <w:color w:val="FFFFFF"/>
          <w:sz w:val="20"/>
          <w:szCs w:val="20"/>
        </w:rPr>
        <w:t>RPZP.05</w:t>
      </w:r>
      <w:r w:rsidR="00FB1E80">
        <w:rPr>
          <w:rFonts w:ascii="Arial" w:hAnsi="Arial" w:cs="Arial"/>
          <w:b/>
          <w:color w:val="FFFFFF"/>
          <w:sz w:val="20"/>
          <w:szCs w:val="20"/>
        </w:rPr>
        <w:t>.</w:t>
      </w:r>
      <w:r w:rsidR="00055A83">
        <w:rPr>
          <w:rFonts w:ascii="Arial" w:hAnsi="Arial" w:cs="Arial"/>
          <w:b/>
          <w:color w:val="FFFFFF"/>
          <w:sz w:val="20"/>
          <w:szCs w:val="20"/>
        </w:rPr>
        <w:t>04</w:t>
      </w:r>
      <w:r w:rsidR="00B27CA0" w:rsidRPr="00FA29FA">
        <w:rPr>
          <w:rFonts w:ascii="Arial" w:hAnsi="Arial" w:cs="Arial"/>
          <w:b/>
          <w:color w:val="FFFFFF"/>
          <w:sz w:val="20"/>
          <w:szCs w:val="20"/>
        </w:rPr>
        <w:t>.00-IZ.00-32-001/16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397951">
        <w:rPr>
          <w:rFonts w:ascii="Arial" w:hAnsi="Arial" w:cs="Arial"/>
          <w:b/>
          <w:color w:val="FFFFFF" w:themeColor="background1"/>
          <w:sz w:val="20"/>
          <w:szCs w:val="20"/>
          <w:lang w:eastAsia="pl-PL"/>
        </w:rPr>
        <w:t>5</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DF5D04" w:rsidRDefault="00DF5D04" w:rsidP="00A209EB">
      <w:pPr>
        <w:pStyle w:val="Nagwekspisutreci"/>
        <w:rPr>
          <w:rFonts w:eastAsia="Calibri"/>
          <w:noProof/>
        </w:rPr>
      </w:pPr>
      <w:bookmarkStart w:id="0" w:name="_GoBack"/>
      <w:bookmarkEnd w:id="0"/>
    </w:p>
    <w:p w:rsidR="00795760" w:rsidRPr="00DA6FF1" w:rsidRDefault="00795760" w:rsidP="001A6C83">
      <w:pPr>
        <w:pStyle w:val="Spistreci1"/>
      </w:pPr>
      <w:r w:rsidRPr="00DA6FF1">
        <w:t>Spis treści</w:t>
      </w:r>
    </w:p>
    <w:bookmarkStart w:id="1" w:name="_Toc436117392" w:displacedByCustomXml="next"/>
    <w:bookmarkStart w:id="2" w:name="_Toc444153271" w:displacedByCustomXml="next"/>
    <w:bookmarkStart w:id="3" w:name="_Toc454863184" w:displacedByCustomXml="next"/>
    <w:sdt>
      <w:sdtPr>
        <w:rPr>
          <w:rFonts w:ascii="Calibri" w:eastAsia="Calibri" w:hAnsi="Calibri"/>
          <w:b w:val="0"/>
          <w:bCs w:val="0"/>
          <w:color w:val="auto"/>
          <w:sz w:val="22"/>
          <w:szCs w:val="22"/>
        </w:rPr>
        <w:id w:val="18922256"/>
        <w:docPartObj>
          <w:docPartGallery w:val="Table of Contents"/>
          <w:docPartUnique/>
        </w:docPartObj>
      </w:sdtPr>
      <w:sdtEndPr/>
      <w:sdtContent>
        <w:p w:rsidR="005E0F3C" w:rsidRDefault="005E0F3C">
          <w:pPr>
            <w:pStyle w:val="Nagwekspisutreci"/>
          </w:pPr>
        </w:p>
        <w:p w:rsidR="00792F98" w:rsidRDefault="002C1A89">
          <w:pPr>
            <w:pStyle w:val="Spistreci1"/>
            <w:rPr>
              <w:rFonts w:asciiTheme="minorHAnsi" w:eastAsiaTheme="minorEastAsia" w:hAnsiTheme="minorHAnsi" w:cstheme="minorBidi"/>
              <w:b w:val="0"/>
              <w:bCs w:val="0"/>
              <w:sz w:val="22"/>
              <w:szCs w:val="22"/>
              <w:lang w:eastAsia="pl-PL"/>
            </w:rPr>
          </w:pPr>
          <w:r>
            <w:fldChar w:fldCharType="begin"/>
          </w:r>
          <w:r w:rsidR="00A94C6B">
            <w:instrText xml:space="preserve"> TOC \o "1-3" \h \z \u </w:instrText>
          </w:r>
          <w:r>
            <w:fldChar w:fldCharType="separate"/>
          </w:r>
          <w:hyperlink w:anchor="_Toc525806057" w:history="1">
            <w:r w:rsidR="00792F98" w:rsidRPr="00722034">
              <w:rPr>
                <w:rStyle w:val="Hipercze"/>
              </w:rPr>
              <w:t>Wykaz skrótów</w:t>
            </w:r>
            <w:r w:rsidR="00792F98">
              <w:rPr>
                <w:webHidden/>
              </w:rPr>
              <w:tab/>
            </w:r>
            <w:r>
              <w:rPr>
                <w:webHidden/>
              </w:rPr>
              <w:fldChar w:fldCharType="begin"/>
            </w:r>
            <w:r w:rsidR="00792F98">
              <w:rPr>
                <w:webHidden/>
              </w:rPr>
              <w:instrText xml:space="preserve"> PAGEREF _Toc525806057 \h </w:instrText>
            </w:r>
            <w:r>
              <w:rPr>
                <w:webHidden/>
              </w:rPr>
            </w:r>
            <w:r>
              <w:rPr>
                <w:webHidden/>
              </w:rPr>
              <w:fldChar w:fldCharType="separate"/>
            </w:r>
            <w:r w:rsidR="006D3061">
              <w:rPr>
                <w:webHidden/>
              </w:rPr>
              <w:t>3</w:t>
            </w:r>
            <w:r>
              <w:rPr>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58" w:history="1">
            <w:r w:rsidR="00792F98" w:rsidRPr="00722034">
              <w:rPr>
                <w:rStyle w:val="Hipercze"/>
              </w:rPr>
              <w:t>Słownik pojęć</w:t>
            </w:r>
            <w:r w:rsidR="00792F98">
              <w:rPr>
                <w:webHidden/>
              </w:rPr>
              <w:tab/>
            </w:r>
            <w:r w:rsidR="002C1A89">
              <w:rPr>
                <w:webHidden/>
              </w:rPr>
              <w:fldChar w:fldCharType="begin"/>
            </w:r>
            <w:r w:rsidR="00792F98">
              <w:rPr>
                <w:webHidden/>
              </w:rPr>
              <w:instrText xml:space="preserve"> PAGEREF _Toc525806058 \h </w:instrText>
            </w:r>
            <w:r w:rsidR="002C1A89">
              <w:rPr>
                <w:webHidden/>
              </w:rPr>
            </w:r>
            <w:r w:rsidR="002C1A89">
              <w:rPr>
                <w:webHidden/>
              </w:rPr>
              <w:fldChar w:fldCharType="separate"/>
            </w:r>
            <w:r w:rsidR="006D3061">
              <w:rPr>
                <w:webHidden/>
              </w:rPr>
              <w:t>3</w:t>
            </w:r>
            <w:r w:rsidR="002C1A89">
              <w:rPr>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59" w:history="1">
            <w:r w:rsidR="00792F98" w:rsidRPr="00722034">
              <w:rPr>
                <w:rStyle w:val="Hipercze"/>
              </w:rPr>
              <w:t>Rozdział 1 Podstawy prawne i zakres zastosowania</w:t>
            </w:r>
            <w:r w:rsidR="00792F98">
              <w:rPr>
                <w:webHidden/>
              </w:rPr>
              <w:tab/>
            </w:r>
            <w:r w:rsidR="002C1A89">
              <w:rPr>
                <w:webHidden/>
              </w:rPr>
              <w:fldChar w:fldCharType="begin"/>
            </w:r>
            <w:r w:rsidR="00792F98">
              <w:rPr>
                <w:webHidden/>
              </w:rPr>
              <w:instrText xml:space="preserve"> PAGEREF _Toc525806059 \h </w:instrText>
            </w:r>
            <w:r w:rsidR="002C1A89">
              <w:rPr>
                <w:webHidden/>
              </w:rPr>
            </w:r>
            <w:r w:rsidR="002C1A89">
              <w:rPr>
                <w:webHidden/>
              </w:rPr>
              <w:fldChar w:fldCharType="separate"/>
            </w:r>
            <w:r w:rsidR="006D3061">
              <w:rPr>
                <w:webHidden/>
              </w:rPr>
              <w:t>5</w:t>
            </w:r>
            <w:r w:rsidR="002C1A89">
              <w:rPr>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0" w:history="1">
            <w:r w:rsidR="00792F98" w:rsidRPr="00722034">
              <w:rPr>
                <w:rStyle w:val="Hipercze"/>
                <w:noProof/>
              </w:rPr>
              <w:t>1.1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Podstawy prawne</w:t>
            </w:r>
            <w:r w:rsidR="00792F98">
              <w:rPr>
                <w:noProof/>
                <w:webHidden/>
              </w:rPr>
              <w:tab/>
            </w:r>
            <w:r w:rsidR="002C1A89">
              <w:rPr>
                <w:noProof/>
                <w:webHidden/>
              </w:rPr>
              <w:fldChar w:fldCharType="begin"/>
            </w:r>
            <w:r w:rsidR="00792F98">
              <w:rPr>
                <w:noProof/>
                <w:webHidden/>
              </w:rPr>
              <w:instrText xml:space="preserve"> PAGEREF _Toc525806060 \h </w:instrText>
            </w:r>
            <w:r w:rsidR="002C1A89">
              <w:rPr>
                <w:noProof/>
                <w:webHidden/>
              </w:rPr>
            </w:r>
            <w:r w:rsidR="002C1A89">
              <w:rPr>
                <w:noProof/>
                <w:webHidden/>
              </w:rPr>
              <w:fldChar w:fldCharType="separate"/>
            </w:r>
            <w:r w:rsidR="006D3061">
              <w:rPr>
                <w:noProof/>
                <w:webHidden/>
              </w:rPr>
              <w:t>5</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1" w:history="1">
            <w:r w:rsidR="00792F98" w:rsidRPr="00722034">
              <w:rPr>
                <w:rStyle w:val="Hipercze"/>
                <w:noProof/>
              </w:rPr>
              <w:t>1.2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Zakres zastosowania</w:t>
            </w:r>
            <w:r w:rsidR="00792F98">
              <w:rPr>
                <w:noProof/>
                <w:webHidden/>
              </w:rPr>
              <w:tab/>
            </w:r>
            <w:r w:rsidR="002C1A89">
              <w:rPr>
                <w:noProof/>
                <w:webHidden/>
              </w:rPr>
              <w:fldChar w:fldCharType="begin"/>
            </w:r>
            <w:r w:rsidR="00792F98">
              <w:rPr>
                <w:noProof/>
                <w:webHidden/>
              </w:rPr>
              <w:instrText xml:space="preserve"> PAGEREF _Toc525806061 \h </w:instrText>
            </w:r>
            <w:r w:rsidR="002C1A89">
              <w:rPr>
                <w:noProof/>
                <w:webHidden/>
              </w:rPr>
            </w:r>
            <w:r w:rsidR="002C1A89">
              <w:rPr>
                <w:noProof/>
                <w:webHidden/>
              </w:rPr>
              <w:fldChar w:fldCharType="separate"/>
            </w:r>
            <w:r w:rsidR="006D3061">
              <w:rPr>
                <w:noProof/>
                <w:webHidden/>
              </w:rPr>
              <w:t>6</w:t>
            </w:r>
            <w:r w:rsidR="002C1A89">
              <w:rPr>
                <w:noProof/>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62" w:history="1">
            <w:r w:rsidR="00792F98" w:rsidRPr="00722034">
              <w:rPr>
                <w:rStyle w:val="Hipercze"/>
              </w:rPr>
              <w:t>Rozdział 2 Charakterystyka dochodów w projekcie</w:t>
            </w:r>
            <w:r w:rsidR="00792F98">
              <w:rPr>
                <w:webHidden/>
              </w:rPr>
              <w:tab/>
            </w:r>
            <w:r w:rsidR="002C1A89">
              <w:rPr>
                <w:webHidden/>
              </w:rPr>
              <w:fldChar w:fldCharType="begin"/>
            </w:r>
            <w:r w:rsidR="00792F98">
              <w:rPr>
                <w:webHidden/>
              </w:rPr>
              <w:instrText xml:space="preserve"> PAGEREF _Toc525806062 \h </w:instrText>
            </w:r>
            <w:r w:rsidR="002C1A89">
              <w:rPr>
                <w:webHidden/>
              </w:rPr>
            </w:r>
            <w:r w:rsidR="002C1A89">
              <w:rPr>
                <w:webHidden/>
              </w:rPr>
              <w:fldChar w:fldCharType="separate"/>
            </w:r>
            <w:r w:rsidR="006D3061">
              <w:rPr>
                <w:webHidden/>
              </w:rPr>
              <w:t>7</w:t>
            </w:r>
            <w:r w:rsidR="002C1A89">
              <w:rPr>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4" w:history="1">
            <w:r w:rsidR="00792F98" w:rsidRPr="00722034">
              <w:rPr>
                <w:rStyle w:val="Hipercze"/>
                <w:rFonts w:cs="Arial"/>
                <w:noProof/>
              </w:rPr>
              <w:t>2.1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Definicja dochodu wygenerowanego w fazie inwestycyjnej oraz zasady jego wykazywania w projekcie</w:t>
            </w:r>
            <w:r w:rsidR="00792F98">
              <w:rPr>
                <w:noProof/>
                <w:webHidden/>
              </w:rPr>
              <w:tab/>
            </w:r>
            <w:r w:rsidR="002C1A89">
              <w:rPr>
                <w:noProof/>
                <w:webHidden/>
              </w:rPr>
              <w:fldChar w:fldCharType="begin"/>
            </w:r>
            <w:r w:rsidR="00792F98">
              <w:rPr>
                <w:noProof/>
                <w:webHidden/>
              </w:rPr>
              <w:instrText xml:space="preserve"> PAGEREF _Toc525806064 \h </w:instrText>
            </w:r>
            <w:r w:rsidR="002C1A89">
              <w:rPr>
                <w:noProof/>
                <w:webHidden/>
              </w:rPr>
            </w:r>
            <w:r w:rsidR="002C1A89">
              <w:rPr>
                <w:noProof/>
                <w:webHidden/>
              </w:rPr>
              <w:fldChar w:fldCharType="separate"/>
            </w:r>
            <w:r w:rsidR="006D3061">
              <w:rPr>
                <w:noProof/>
                <w:webHidden/>
              </w:rPr>
              <w:t>7</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5" w:history="1">
            <w:r w:rsidR="00792F98" w:rsidRPr="00722034">
              <w:rPr>
                <w:rStyle w:val="Hipercze"/>
                <w:noProof/>
              </w:rPr>
              <w:t>2.2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Definicja dochodu wygenerowanego w fazie operacyjnej</w:t>
            </w:r>
            <w:r w:rsidR="00792F98">
              <w:rPr>
                <w:noProof/>
                <w:webHidden/>
              </w:rPr>
              <w:tab/>
            </w:r>
            <w:r w:rsidR="002C1A89">
              <w:rPr>
                <w:noProof/>
                <w:webHidden/>
              </w:rPr>
              <w:fldChar w:fldCharType="begin"/>
            </w:r>
            <w:r w:rsidR="00792F98">
              <w:rPr>
                <w:noProof/>
                <w:webHidden/>
              </w:rPr>
              <w:instrText xml:space="preserve"> PAGEREF _Toc525806065 \h </w:instrText>
            </w:r>
            <w:r w:rsidR="002C1A89">
              <w:rPr>
                <w:noProof/>
                <w:webHidden/>
              </w:rPr>
            </w:r>
            <w:r w:rsidR="002C1A89">
              <w:rPr>
                <w:noProof/>
                <w:webHidden/>
              </w:rPr>
              <w:fldChar w:fldCharType="separate"/>
            </w:r>
            <w:r w:rsidR="006D3061">
              <w:rPr>
                <w:noProof/>
                <w:webHidden/>
              </w:rPr>
              <w:t>8</w:t>
            </w:r>
            <w:r w:rsidR="002C1A89">
              <w:rPr>
                <w:noProof/>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66" w:history="1">
            <w:r w:rsidR="00792F98" w:rsidRPr="00722034">
              <w:rPr>
                <w:rStyle w:val="Hipercze"/>
              </w:rPr>
              <w:t>Rozdział 3 Charakterystyka projektów generujących dochód</w:t>
            </w:r>
            <w:r w:rsidR="00792F98">
              <w:rPr>
                <w:webHidden/>
              </w:rPr>
              <w:tab/>
            </w:r>
            <w:r w:rsidR="002C1A89">
              <w:rPr>
                <w:webHidden/>
              </w:rPr>
              <w:fldChar w:fldCharType="begin"/>
            </w:r>
            <w:r w:rsidR="00792F98">
              <w:rPr>
                <w:webHidden/>
              </w:rPr>
              <w:instrText xml:space="preserve"> PAGEREF _Toc525806066 \h </w:instrText>
            </w:r>
            <w:r w:rsidR="002C1A89">
              <w:rPr>
                <w:webHidden/>
              </w:rPr>
            </w:r>
            <w:r w:rsidR="002C1A89">
              <w:rPr>
                <w:webHidden/>
              </w:rPr>
              <w:fldChar w:fldCharType="separate"/>
            </w:r>
            <w:r w:rsidR="006D3061">
              <w:rPr>
                <w:webHidden/>
              </w:rPr>
              <w:t>9</w:t>
            </w:r>
            <w:r w:rsidR="002C1A89">
              <w:rPr>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8" w:history="1">
            <w:r w:rsidR="00792F98" w:rsidRPr="00722034">
              <w:rPr>
                <w:rStyle w:val="Hipercze"/>
                <w:noProof/>
              </w:rPr>
              <w:t>3.1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Kategorie projektów generujących dochód oraz metody określania wysokości dofinansowania</w:t>
            </w:r>
            <w:r w:rsidR="00792F98">
              <w:rPr>
                <w:noProof/>
                <w:webHidden/>
              </w:rPr>
              <w:tab/>
            </w:r>
            <w:r w:rsidR="002C1A89">
              <w:rPr>
                <w:noProof/>
                <w:webHidden/>
              </w:rPr>
              <w:fldChar w:fldCharType="begin"/>
            </w:r>
            <w:r w:rsidR="00792F98">
              <w:rPr>
                <w:noProof/>
                <w:webHidden/>
              </w:rPr>
              <w:instrText xml:space="preserve"> PAGEREF _Toc525806068 \h </w:instrText>
            </w:r>
            <w:r w:rsidR="002C1A89">
              <w:rPr>
                <w:noProof/>
                <w:webHidden/>
              </w:rPr>
            </w:r>
            <w:r w:rsidR="002C1A89">
              <w:rPr>
                <w:noProof/>
                <w:webHidden/>
              </w:rPr>
              <w:fldChar w:fldCharType="separate"/>
            </w:r>
            <w:r w:rsidR="006D3061">
              <w:rPr>
                <w:noProof/>
                <w:webHidden/>
              </w:rPr>
              <w:t>9</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69" w:history="1">
            <w:r w:rsidR="00792F98" w:rsidRPr="00722034">
              <w:rPr>
                <w:rStyle w:val="Hipercze"/>
                <w:rFonts w:cs="Arial"/>
                <w:noProof/>
              </w:rPr>
              <w:t>3.1.1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luki w finansowaniu</w:t>
            </w:r>
            <w:r w:rsidR="00792F98">
              <w:rPr>
                <w:noProof/>
                <w:webHidden/>
              </w:rPr>
              <w:tab/>
            </w:r>
            <w:r w:rsidR="002C1A89">
              <w:rPr>
                <w:noProof/>
                <w:webHidden/>
              </w:rPr>
              <w:fldChar w:fldCharType="begin"/>
            </w:r>
            <w:r w:rsidR="00792F98">
              <w:rPr>
                <w:noProof/>
                <w:webHidden/>
              </w:rPr>
              <w:instrText xml:space="preserve"> PAGEREF _Toc525806069 \h </w:instrText>
            </w:r>
            <w:r w:rsidR="002C1A89">
              <w:rPr>
                <w:noProof/>
                <w:webHidden/>
              </w:rPr>
            </w:r>
            <w:r w:rsidR="002C1A89">
              <w:rPr>
                <w:noProof/>
                <w:webHidden/>
              </w:rPr>
              <w:fldChar w:fldCharType="separate"/>
            </w:r>
            <w:r w:rsidR="006D3061">
              <w:rPr>
                <w:noProof/>
                <w:webHidden/>
              </w:rPr>
              <w:t>10</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0" w:history="1">
            <w:r w:rsidR="00792F98" w:rsidRPr="00722034">
              <w:rPr>
                <w:rStyle w:val="Hipercze"/>
                <w:rFonts w:cs="Arial"/>
                <w:noProof/>
              </w:rPr>
              <w:t>3.1.2</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zryczałtowanych procentowych stawek dochodów określonych w danym sektorze lub podsektorze</w:t>
            </w:r>
            <w:r w:rsidR="00792F98">
              <w:rPr>
                <w:noProof/>
                <w:webHidden/>
              </w:rPr>
              <w:tab/>
            </w:r>
            <w:r w:rsidR="002C1A89">
              <w:rPr>
                <w:noProof/>
                <w:webHidden/>
              </w:rPr>
              <w:fldChar w:fldCharType="begin"/>
            </w:r>
            <w:r w:rsidR="00792F98">
              <w:rPr>
                <w:noProof/>
                <w:webHidden/>
              </w:rPr>
              <w:instrText xml:space="preserve"> PAGEREF _Toc525806070 \h </w:instrText>
            </w:r>
            <w:r w:rsidR="002C1A89">
              <w:rPr>
                <w:noProof/>
                <w:webHidden/>
              </w:rPr>
            </w:r>
            <w:r w:rsidR="002C1A89">
              <w:rPr>
                <w:noProof/>
                <w:webHidden/>
              </w:rPr>
              <w:fldChar w:fldCharType="separate"/>
            </w:r>
            <w:r w:rsidR="006D3061">
              <w:rPr>
                <w:noProof/>
                <w:webHidden/>
              </w:rPr>
              <w:t>11</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1" w:history="1">
            <w:r w:rsidR="00792F98" w:rsidRPr="00722034">
              <w:rPr>
                <w:rStyle w:val="Hipercze"/>
                <w:rFonts w:eastAsiaTheme="minorHAnsi"/>
                <w:noProof/>
              </w:rPr>
              <w:t>3.1.3</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eastAsiaTheme="minorHAnsi"/>
                <w:noProof/>
              </w:rPr>
              <w:t>Informacje dodatkowe</w:t>
            </w:r>
            <w:r w:rsidR="00792F98">
              <w:rPr>
                <w:noProof/>
                <w:webHidden/>
              </w:rPr>
              <w:tab/>
            </w:r>
            <w:r w:rsidR="002C1A89">
              <w:rPr>
                <w:noProof/>
                <w:webHidden/>
              </w:rPr>
              <w:fldChar w:fldCharType="begin"/>
            </w:r>
            <w:r w:rsidR="00792F98">
              <w:rPr>
                <w:noProof/>
                <w:webHidden/>
              </w:rPr>
              <w:instrText xml:space="preserve"> PAGEREF _Toc525806071 \h </w:instrText>
            </w:r>
            <w:r w:rsidR="002C1A89">
              <w:rPr>
                <w:noProof/>
                <w:webHidden/>
              </w:rPr>
            </w:r>
            <w:r w:rsidR="002C1A89">
              <w:rPr>
                <w:noProof/>
                <w:webHidden/>
              </w:rPr>
              <w:fldChar w:fldCharType="separate"/>
            </w:r>
            <w:r w:rsidR="006D3061">
              <w:rPr>
                <w:noProof/>
                <w:webHidden/>
              </w:rPr>
              <w:t>11</w:t>
            </w:r>
            <w:r w:rsidR="002C1A89">
              <w:rPr>
                <w:noProof/>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72" w:history="1">
            <w:r w:rsidR="00792F98" w:rsidRPr="00722034">
              <w:rPr>
                <w:rStyle w:val="Hipercze"/>
              </w:rPr>
              <w:t>Rozdział 4 Monitorowanie dochodu</w:t>
            </w:r>
            <w:r w:rsidR="00792F98">
              <w:rPr>
                <w:webHidden/>
              </w:rPr>
              <w:tab/>
            </w:r>
            <w:r w:rsidR="002C1A89">
              <w:rPr>
                <w:webHidden/>
              </w:rPr>
              <w:fldChar w:fldCharType="begin"/>
            </w:r>
            <w:r w:rsidR="00792F98">
              <w:rPr>
                <w:webHidden/>
              </w:rPr>
              <w:instrText xml:space="preserve"> PAGEREF _Toc525806072 \h </w:instrText>
            </w:r>
            <w:r w:rsidR="002C1A89">
              <w:rPr>
                <w:webHidden/>
              </w:rPr>
            </w:r>
            <w:r w:rsidR="002C1A89">
              <w:rPr>
                <w:webHidden/>
              </w:rPr>
              <w:fldChar w:fldCharType="separate"/>
            </w:r>
            <w:r w:rsidR="006D3061">
              <w:rPr>
                <w:webHidden/>
              </w:rPr>
              <w:t>12</w:t>
            </w:r>
            <w:r w:rsidR="002C1A89">
              <w:rPr>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3" w:history="1">
            <w:r w:rsidR="00792F98" w:rsidRPr="00722034">
              <w:rPr>
                <w:rStyle w:val="Hipercze"/>
                <w:rFonts w:cs="Arial"/>
                <w:noProof/>
              </w:rPr>
              <w:t>4.1 Monitorowanie dochodu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_Toc525806073 \h </w:instrText>
            </w:r>
            <w:r w:rsidR="002C1A89">
              <w:rPr>
                <w:noProof/>
                <w:webHidden/>
              </w:rPr>
            </w:r>
            <w:r w:rsidR="002C1A89">
              <w:rPr>
                <w:noProof/>
                <w:webHidden/>
              </w:rPr>
              <w:fldChar w:fldCharType="separate"/>
            </w:r>
            <w:r w:rsidR="006D3061">
              <w:rPr>
                <w:noProof/>
                <w:webHidden/>
              </w:rPr>
              <w:t>14</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4" w:history="1">
            <w:r w:rsidR="00792F98" w:rsidRPr="00722034">
              <w:rPr>
                <w:rStyle w:val="Hipercze"/>
                <w:rFonts w:cs="Arial"/>
                <w:noProof/>
              </w:rPr>
              <w:t>4.1.1 Kalkulacja kosztów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_Toc525806074 \h </w:instrText>
            </w:r>
            <w:r w:rsidR="002C1A89">
              <w:rPr>
                <w:noProof/>
                <w:webHidden/>
              </w:rPr>
            </w:r>
            <w:r w:rsidR="002C1A89">
              <w:rPr>
                <w:noProof/>
                <w:webHidden/>
              </w:rPr>
              <w:fldChar w:fldCharType="separate"/>
            </w:r>
            <w:r w:rsidR="006D3061">
              <w:rPr>
                <w:noProof/>
                <w:webHidden/>
              </w:rPr>
              <w:t>14</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5" w:history="1">
            <w:r w:rsidR="00792F98" w:rsidRPr="00722034">
              <w:rPr>
                <w:rStyle w:val="Hipercze"/>
                <w:rFonts w:cs="Arial"/>
                <w:noProof/>
              </w:rPr>
              <w:t>4.1.2 Metodyka wyliczenia dochodu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_Toc525806075 \h </w:instrText>
            </w:r>
            <w:r w:rsidR="002C1A89">
              <w:rPr>
                <w:noProof/>
                <w:webHidden/>
              </w:rPr>
            </w:r>
            <w:r w:rsidR="002C1A89">
              <w:rPr>
                <w:noProof/>
                <w:webHidden/>
              </w:rPr>
              <w:fldChar w:fldCharType="separate"/>
            </w:r>
            <w:r w:rsidR="006D3061">
              <w:rPr>
                <w:noProof/>
                <w:webHidden/>
              </w:rPr>
              <w:t>15</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6" w:history="1">
            <w:r w:rsidR="00792F98" w:rsidRPr="00722034">
              <w:rPr>
                <w:rStyle w:val="Hipercze"/>
                <w:rFonts w:cs="Arial"/>
                <w:noProof/>
              </w:rPr>
              <w:t>4.1.3 Zasady postępowania z dochodem wygenerowanym, w projektach dla których nie można określić przychodów z wyprzedzeniem</w:t>
            </w:r>
            <w:r w:rsidR="00792F98">
              <w:rPr>
                <w:noProof/>
                <w:webHidden/>
              </w:rPr>
              <w:tab/>
            </w:r>
            <w:r w:rsidR="002C1A89">
              <w:rPr>
                <w:noProof/>
                <w:webHidden/>
              </w:rPr>
              <w:fldChar w:fldCharType="begin"/>
            </w:r>
            <w:r w:rsidR="00792F98">
              <w:rPr>
                <w:noProof/>
                <w:webHidden/>
              </w:rPr>
              <w:instrText xml:space="preserve"> PAGEREF _Toc525806076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7" w:history="1">
            <w:r w:rsidR="00792F98" w:rsidRPr="00722034">
              <w:rPr>
                <w:rStyle w:val="Hipercze"/>
                <w:noProof/>
              </w:rPr>
              <w:t>4.2 Zmiany dochodowości projektów</w:t>
            </w:r>
            <w:r w:rsidR="00792F98">
              <w:rPr>
                <w:noProof/>
                <w:webHidden/>
              </w:rPr>
              <w:tab/>
            </w:r>
            <w:r w:rsidR="002C1A89">
              <w:rPr>
                <w:noProof/>
                <w:webHidden/>
              </w:rPr>
              <w:fldChar w:fldCharType="begin"/>
            </w:r>
            <w:r w:rsidR="00792F98">
              <w:rPr>
                <w:noProof/>
                <w:webHidden/>
              </w:rPr>
              <w:instrText xml:space="preserve"> PAGEREF _Toc525806077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8" w:history="1">
            <w:r w:rsidR="00792F98" w:rsidRPr="00722034">
              <w:rPr>
                <w:rStyle w:val="Hipercze"/>
                <w:noProof/>
              </w:rPr>
              <w:t>4.2.1 Weryfikacja zmian dochodowości w projektach generujących dochód</w:t>
            </w:r>
            <w:r w:rsidR="00792F98">
              <w:rPr>
                <w:noProof/>
                <w:webHidden/>
              </w:rPr>
              <w:tab/>
            </w:r>
            <w:r w:rsidR="002C1A89">
              <w:rPr>
                <w:noProof/>
                <w:webHidden/>
              </w:rPr>
              <w:fldChar w:fldCharType="begin"/>
            </w:r>
            <w:r w:rsidR="00792F98">
              <w:rPr>
                <w:noProof/>
                <w:webHidden/>
              </w:rPr>
              <w:instrText xml:space="preserve"> PAGEREF _Toc525806078 \h </w:instrText>
            </w:r>
            <w:r w:rsidR="002C1A89">
              <w:rPr>
                <w:noProof/>
                <w:webHidden/>
              </w:rPr>
            </w:r>
            <w:r w:rsidR="002C1A89">
              <w:rPr>
                <w:noProof/>
                <w:webHidden/>
              </w:rPr>
              <w:fldChar w:fldCharType="separate"/>
            </w:r>
            <w:r w:rsidR="006D3061">
              <w:rPr>
                <w:noProof/>
                <w:webHidden/>
              </w:rPr>
              <w:t>16</w:t>
            </w:r>
            <w:r w:rsidR="002C1A89">
              <w:rPr>
                <w:noProof/>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79" w:history="1">
            <w:r w:rsidR="00792F98" w:rsidRPr="00722034">
              <w:rPr>
                <w:rStyle w:val="Hipercze"/>
                <w:noProof/>
              </w:rPr>
              <w:t>4.2.2 Weryfikacja zmian dochodowości w projektach niegenerujących dochodu</w:t>
            </w:r>
            <w:r w:rsidR="00792F98">
              <w:rPr>
                <w:noProof/>
                <w:webHidden/>
              </w:rPr>
              <w:tab/>
            </w:r>
            <w:r w:rsidR="002C1A89">
              <w:rPr>
                <w:noProof/>
                <w:webHidden/>
              </w:rPr>
              <w:fldChar w:fldCharType="begin"/>
            </w:r>
            <w:r w:rsidR="00792F98">
              <w:rPr>
                <w:noProof/>
                <w:webHidden/>
              </w:rPr>
              <w:instrText xml:space="preserve"> PAGEREF _Toc525806079 \h </w:instrText>
            </w:r>
            <w:r w:rsidR="002C1A89">
              <w:rPr>
                <w:noProof/>
                <w:webHidden/>
              </w:rPr>
            </w:r>
            <w:r w:rsidR="002C1A89">
              <w:rPr>
                <w:noProof/>
                <w:webHidden/>
              </w:rPr>
              <w:fldChar w:fldCharType="separate"/>
            </w:r>
            <w:r w:rsidR="006D3061">
              <w:rPr>
                <w:noProof/>
                <w:webHidden/>
              </w:rPr>
              <w:t>17</w:t>
            </w:r>
            <w:r w:rsidR="002C1A89">
              <w:rPr>
                <w:noProof/>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80" w:history="1">
            <w:r w:rsidR="00792F98" w:rsidRPr="00722034">
              <w:rPr>
                <w:rStyle w:val="Hipercze"/>
              </w:rPr>
              <w:t>Rozdział 5 Monitorowanie kosztów kwalifikowalnych w przypadku projektów generujących dochód</w:t>
            </w:r>
            <w:r w:rsidR="00792F98">
              <w:rPr>
                <w:webHidden/>
              </w:rPr>
              <w:tab/>
            </w:r>
            <w:r w:rsidR="002C1A89">
              <w:rPr>
                <w:webHidden/>
              </w:rPr>
              <w:fldChar w:fldCharType="begin"/>
            </w:r>
            <w:r w:rsidR="00792F98">
              <w:rPr>
                <w:webHidden/>
              </w:rPr>
              <w:instrText xml:space="preserve"> PAGEREF _Toc525806080 \h </w:instrText>
            </w:r>
            <w:r w:rsidR="002C1A89">
              <w:rPr>
                <w:webHidden/>
              </w:rPr>
            </w:r>
            <w:r w:rsidR="002C1A89">
              <w:rPr>
                <w:webHidden/>
              </w:rPr>
              <w:fldChar w:fldCharType="separate"/>
            </w:r>
            <w:r w:rsidR="006D3061">
              <w:rPr>
                <w:webHidden/>
              </w:rPr>
              <w:t>18</w:t>
            </w:r>
            <w:r w:rsidR="002C1A89">
              <w:rPr>
                <w:webHidden/>
              </w:rPr>
              <w:fldChar w:fldCharType="end"/>
            </w:r>
          </w:hyperlink>
        </w:p>
        <w:p w:rsidR="00792F98" w:rsidRDefault="00055A83">
          <w:pPr>
            <w:pStyle w:val="Spistreci2"/>
            <w:rPr>
              <w:rFonts w:asciiTheme="minorHAnsi" w:eastAsiaTheme="minorEastAsia" w:hAnsiTheme="minorHAnsi" w:cstheme="minorBidi"/>
              <w:smallCaps w:val="0"/>
              <w:noProof/>
              <w:sz w:val="22"/>
              <w:szCs w:val="22"/>
              <w:lang w:eastAsia="pl-PL"/>
            </w:rPr>
          </w:pPr>
          <w:hyperlink w:anchor="_Toc525806081" w:history="1">
            <w:r w:rsidR="00792F98" w:rsidRPr="00722034">
              <w:rPr>
                <w:rStyle w:val="Hipercze"/>
                <w:noProof/>
              </w:rPr>
              <w:t>5.1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Zasady i tryb ponownego wyliczania kwoty dofinansowania w projekcie</w:t>
            </w:r>
            <w:r w:rsidR="00792F98">
              <w:rPr>
                <w:noProof/>
                <w:webHidden/>
              </w:rPr>
              <w:tab/>
            </w:r>
            <w:r w:rsidR="002C1A89">
              <w:rPr>
                <w:noProof/>
                <w:webHidden/>
              </w:rPr>
              <w:fldChar w:fldCharType="begin"/>
            </w:r>
            <w:r w:rsidR="00792F98">
              <w:rPr>
                <w:noProof/>
                <w:webHidden/>
              </w:rPr>
              <w:instrText xml:space="preserve"> PAGEREF _Toc525806081 \h </w:instrText>
            </w:r>
            <w:r w:rsidR="002C1A89">
              <w:rPr>
                <w:noProof/>
                <w:webHidden/>
              </w:rPr>
            </w:r>
            <w:r w:rsidR="002C1A89">
              <w:rPr>
                <w:noProof/>
                <w:webHidden/>
              </w:rPr>
              <w:fldChar w:fldCharType="separate"/>
            </w:r>
            <w:r w:rsidR="006D3061">
              <w:rPr>
                <w:noProof/>
                <w:webHidden/>
              </w:rPr>
              <w:t>18</w:t>
            </w:r>
            <w:r w:rsidR="002C1A89">
              <w:rPr>
                <w:noProof/>
                <w:webHidden/>
              </w:rPr>
              <w:fldChar w:fldCharType="end"/>
            </w:r>
          </w:hyperlink>
        </w:p>
        <w:p w:rsidR="00792F98" w:rsidRDefault="00055A83">
          <w:pPr>
            <w:pStyle w:val="Spistreci1"/>
            <w:rPr>
              <w:rFonts w:asciiTheme="minorHAnsi" w:eastAsiaTheme="minorEastAsia" w:hAnsiTheme="minorHAnsi" w:cstheme="minorBidi"/>
              <w:b w:val="0"/>
              <w:bCs w:val="0"/>
              <w:sz w:val="22"/>
              <w:szCs w:val="22"/>
              <w:lang w:eastAsia="pl-PL"/>
            </w:rPr>
          </w:pPr>
          <w:hyperlink w:anchor="_Toc525806082" w:history="1">
            <w:r w:rsidR="00792F98" w:rsidRPr="00722034">
              <w:rPr>
                <w:rStyle w:val="Hipercze"/>
              </w:rPr>
              <w:t>Załącznik nr 1  Tabela monitorowania dochodu w ramach projektów dla których nie można określić przychodów z wyprzedzeniem</w:t>
            </w:r>
            <w:r w:rsidR="00792F98">
              <w:rPr>
                <w:webHidden/>
              </w:rPr>
              <w:tab/>
            </w:r>
            <w:r w:rsidR="002C1A89">
              <w:rPr>
                <w:webHidden/>
              </w:rPr>
              <w:fldChar w:fldCharType="begin"/>
            </w:r>
            <w:r w:rsidR="00792F98">
              <w:rPr>
                <w:webHidden/>
              </w:rPr>
              <w:instrText xml:space="preserve"> PAGEREF _Toc525806082 \h </w:instrText>
            </w:r>
            <w:r w:rsidR="002C1A89">
              <w:rPr>
                <w:webHidden/>
              </w:rPr>
            </w:r>
            <w:r w:rsidR="002C1A89">
              <w:rPr>
                <w:webHidden/>
              </w:rPr>
              <w:fldChar w:fldCharType="separate"/>
            </w:r>
            <w:r w:rsidR="006D3061">
              <w:rPr>
                <w:webHidden/>
              </w:rPr>
              <w:t>20</w:t>
            </w:r>
            <w:r w:rsidR="002C1A89">
              <w:rPr>
                <w:webHidden/>
              </w:rPr>
              <w:fldChar w:fldCharType="end"/>
            </w:r>
          </w:hyperlink>
        </w:p>
        <w:p w:rsidR="005E0F3C" w:rsidRDefault="002C1A89">
          <w:r>
            <w:fldChar w:fldCharType="end"/>
          </w:r>
        </w:p>
      </w:sdtContent>
    </w:sdt>
    <w:p w:rsidR="00E730DE" w:rsidRPr="003C68D5" w:rsidRDefault="00CB461D" w:rsidP="005E0F3C">
      <w:pPr>
        <w:pStyle w:val="Nagwek1"/>
      </w:pPr>
      <w:bookmarkStart w:id="4" w:name="_Toc525806057"/>
      <w:r w:rsidRPr="00DA6FF1">
        <w:lastRenderedPageBreak/>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w:t>
      </w:r>
      <w:r w:rsidR="0068381E">
        <w:rPr>
          <w:rFonts w:ascii="Arial" w:hAnsi="Arial" w:cs="Arial"/>
          <w:sz w:val="20"/>
          <w:szCs w:val="20"/>
        </w:rPr>
        <w:t>7</w:t>
      </w:r>
      <w:r w:rsidRPr="002E7ECD">
        <w:rPr>
          <w:rFonts w:ascii="Arial" w:hAnsi="Arial" w:cs="Arial"/>
          <w:sz w:val="20"/>
          <w:szCs w:val="20"/>
        </w:rPr>
        <w:t xml:space="preserve"> r., poz. </w:t>
      </w:r>
      <w:r w:rsidR="0068381E">
        <w:rPr>
          <w:rFonts w:ascii="Arial" w:hAnsi="Arial" w:cs="Arial"/>
          <w:sz w:val="20"/>
          <w:szCs w:val="20"/>
        </w:rPr>
        <w:t>1579</w:t>
      </w:r>
      <w:r w:rsidRPr="002E7ECD">
        <w:rPr>
          <w:rFonts w:ascii="Arial" w:hAnsi="Arial" w:cs="Arial"/>
          <w:sz w:val="20"/>
          <w:szCs w:val="20"/>
        </w:rPr>
        <w:t xml:space="preserve"> t.j.)</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9B4905" w:rsidRDefault="002B46A8">
      <w:pPr>
        <w:rPr>
          <w:rFonts w:cs="Arial"/>
        </w:rPr>
      </w:pPr>
      <w:bookmarkStart w:id="16" w:name="_Toc525560187"/>
      <w:r w:rsidRPr="002B46A8">
        <w:rPr>
          <w:rFonts w:ascii="Arial" w:hAnsi="Arial" w:cs="Arial"/>
          <w:b/>
          <w:sz w:val="20"/>
          <w:szCs w:val="20"/>
        </w:rPr>
        <w:t>US</w:t>
      </w:r>
      <w:r w:rsidR="00691B9C" w:rsidRPr="00691B9C">
        <w:rPr>
          <w:rFonts w:ascii="Arial" w:hAnsi="Arial" w:cs="Arial"/>
          <w:sz w:val="20"/>
          <w:szCs w:val="20"/>
        </w:rPr>
        <w:t xml:space="preserve"> – Urząd Skarbowy;</w:t>
      </w:r>
      <w:bookmarkEnd w:id="16"/>
    </w:p>
    <w:p w:rsidR="0068381E" w:rsidRPr="00C134D1" w:rsidRDefault="00691B9C" w:rsidP="0068381E">
      <w:pPr>
        <w:rPr>
          <w:rFonts w:ascii="Arial" w:hAnsi="Arial" w:cs="Arial"/>
          <w:sz w:val="20"/>
          <w:szCs w:val="20"/>
        </w:rPr>
      </w:pPr>
      <w:r w:rsidRPr="00691B9C">
        <w:rPr>
          <w:rFonts w:ascii="Arial" w:hAnsi="Arial" w:cs="Arial"/>
          <w:b/>
          <w:sz w:val="20"/>
          <w:szCs w:val="20"/>
        </w:rPr>
        <w:t xml:space="preserve">ZUS – </w:t>
      </w:r>
      <w:r w:rsidRPr="00691B9C">
        <w:rPr>
          <w:rFonts w:ascii="Arial" w:hAnsi="Arial" w:cs="Arial"/>
          <w:sz w:val="20"/>
          <w:szCs w:val="20"/>
        </w:rPr>
        <w:t>Zakład Ubezpieczeń Społecznych.</w:t>
      </w:r>
    </w:p>
    <w:p w:rsidR="0068381E" w:rsidRPr="00193842" w:rsidRDefault="0068381E" w:rsidP="0068381E"/>
    <w:p w:rsidR="008F5C0C" w:rsidRPr="00024B7A" w:rsidRDefault="008F5C0C" w:rsidP="005E0F3C">
      <w:pPr>
        <w:pStyle w:val="Nagwek1"/>
      </w:pPr>
      <w:bookmarkStart w:id="17" w:name="_Toc454863185"/>
      <w:bookmarkStart w:id="18" w:name="_Toc525806058"/>
      <w:r w:rsidRPr="00A67AAC">
        <w:t>Słownik pojęć</w:t>
      </w:r>
      <w:bookmarkEnd w:id="5"/>
      <w:bookmarkEnd w:id="6"/>
      <w:bookmarkEnd w:id="7"/>
      <w:bookmarkEnd w:id="8"/>
      <w:bookmarkEnd w:id="9"/>
      <w:bookmarkEnd w:id="10"/>
      <w:bookmarkEnd w:id="11"/>
      <w:bookmarkEnd w:id="17"/>
      <w:bookmarkEnd w:id="18"/>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Pr="0068381E" w:rsidRDefault="00AE73FA" w:rsidP="0068381E">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beneficjent</w:t>
      </w:r>
      <w:r w:rsidR="00606432" w:rsidRPr="00650401">
        <w:rPr>
          <w:rFonts w:ascii="Arial" w:eastAsia="Times New Roman" w:hAnsi="Arial" w:cs="Arial"/>
          <w:sz w:val="20"/>
          <w:szCs w:val="20"/>
          <w:lang w:eastAsia="pl-PL"/>
        </w:rPr>
        <w:t xml:space="preserve"> – </w:t>
      </w:r>
      <w:r w:rsidR="00E2431F" w:rsidRPr="00650401">
        <w:rPr>
          <w:rFonts w:ascii="Arial" w:eastAsia="Times New Roman" w:hAnsi="Arial" w:cs="Arial"/>
          <w:sz w:val="20"/>
          <w:szCs w:val="20"/>
          <w:lang w:eastAsia="pl-PL"/>
        </w:rPr>
        <w:t>podmiot, o którym mowa w art. 2 pkt 10 rozporządzenia ogólnego</w:t>
      </w:r>
      <w:r w:rsidR="0068381E">
        <w:rPr>
          <w:rFonts w:ascii="Arial" w:eastAsia="Times New Roman" w:hAnsi="Arial" w:cs="Arial"/>
          <w:sz w:val="20"/>
          <w:szCs w:val="20"/>
          <w:lang w:eastAsia="pl-PL"/>
        </w:rPr>
        <w:t xml:space="preserve"> oraz podmiot, o którym mowa w art.63 rozporządzenia ogólnego</w:t>
      </w:r>
      <w:r w:rsidR="0068381E" w:rsidRPr="00650401">
        <w:rPr>
          <w:rFonts w:ascii="Arial" w:eastAsia="Times New Roman" w:hAnsi="Arial" w:cs="Arial"/>
          <w:sz w:val="20"/>
          <w:szCs w:val="20"/>
          <w:lang w:eastAsia="pl-PL"/>
        </w:rPr>
        <w:t>;</w:t>
      </w:r>
    </w:p>
    <w:p w:rsidR="0003367A" w:rsidRPr="00650401"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w:t>
      </w:r>
      <w:r w:rsidR="0003367A" w:rsidRPr="00B35D46">
        <w:rPr>
          <w:rFonts w:ascii="Arial" w:eastAsia="Times New Roman" w:hAnsi="Arial" w:cs="Arial"/>
          <w:sz w:val="20"/>
          <w:szCs w:val="20"/>
          <w:lang w:eastAsia="pl-PL"/>
        </w:rPr>
        <w:t xml:space="preserve"> koszt projektu/inwestycji - wydatki kwalifikowalne i niekwalifikowalne w rozumieniu</w:t>
      </w:r>
      <w:r w:rsidR="0003367A" w:rsidRPr="00B35D46">
        <w:rPr>
          <w:sz w:val="20"/>
          <w:szCs w:val="20"/>
        </w:rPr>
        <w:t xml:space="preserve"> </w:t>
      </w:r>
      <w:r w:rsidR="0003367A" w:rsidRPr="00B35D46">
        <w:rPr>
          <w:rFonts w:ascii="Arial" w:eastAsia="Times New Roman" w:hAnsi="Arial" w:cs="Arial"/>
          <w:sz w:val="20"/>
          <w:szCs w:val="20"/>
          <w:lang w:eastAsia="pl-PL"/>
        </w:rPr>
        <w:t xml:space="preserve">Wytycznych </w:t>
      </w:r>
      <w:r w:rsidRPr="008E5B59">
        <w:rPr>
          <w:rFonts w:ascii="Arial" w:eastAsia="Times New Roman" w:hAnsi="Arial" w:cs="Arial"/>
          <w:sz w:val="20"/>
          <w:szCs w:val="20"/>
          <w:lang w:eastAsia="pl-PL"/>
        </w:rPr>
        <w:t>MR</w:t>
      </w:r>
      <w:r w:rsidR="0003367A" w:rsidRPr="00B35D46">
        <w:rPr>
          <w:rFonts w:ascii="Arial" w:eastAsia="Times New Roman" w:hAnsi="Arial" w:cs="Arial"/>
          <w:sz w:val="20"/>
          <w:szCs w:val="20"/>
          <w:lang w:eastAsia="pl-PL"/>
        </w:rPr>
        <w:t xml:space="preserve"> w zakresie kwalifikowalności wydatków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sidR="0003367A">
        <w:rPr>
          <w:rFonts w:ascii="Arial" w:eastAsia="Times New Roman" w:hAnsi="Arial" w:cs="Arial"/>
          <w:sz w:val="20"/>
          <w:szCs w:val="20"/>
          <w:lang w:eastAsia="pl-PL"/>
        </w:rPr>
        <w:t>;</w:t>
      </w:r>
    </w:p>
    <w:p w:rsidR="00E72D92"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 koszt kwalifikowalny projektu/inwestycji</w:t>
      </w:r>
      <w:r w:rsidR="00E72D92"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w:t>
      </w:r>
      <w:r w:rsidR="00741CAD" w:rsidRPr="008E5B59">
        <w:rPr>
          <w:rFonts w:ascii="Arial" w:eastAsia="Times New Roman" w:hAnsi="Arial" w:cs="Arial"/>
          <w:sz w:val="20"/>
          <w:szCs w:val="20"/>
          <w:lang w:eastAsia="pl-PL"/>
        </w:rPr>
        <w:t>MR</w:t>
      </w:r>
      <w:r w:rsidR="00E72D92"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00E72D92"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F7588D" w:rsidRDefault="00AE73FA">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Oszczędności kosztów operacyjnych (działalności):</w:t>
      </w:r>
      <w:r w:rsidR="002705B1">
        <w:rPr>
          <w:rFonts w:ascii="Arial" w:eastAsia="Times New Roman" w:hAnsi="Arial" w:cs="Arial"/>
          <w:sz w:val="20"/>
          <w:szCs w:val="20"/>
          <w:lang w:eastAsia="pl-PL"/>
        </w:rPr>
        <w:t xml:space="preserve"> spadek poziomu kosztów operacyjnych związanych z funkcjonowaniem infrastruktury powstały wskutek realizacji projektu. Wartość oszczędności ustala się poprzez porównanie poziomu kosztów dla scenariusza „z projektem” oraz „bez projektu”. Zgodnie z art. 61 ust. 1 rozporządzenia nr 1303/2013 oszczędności kosztów operacyjnych</w:t>
      </w:r>
      <w:r w:rsidR="0034692B">
        <w:rPr>
          <w:rFonts w:ascii="Arial" w:eastAsia="Times New Roman" w:hAnsi="Arial" w:cs="Arial"/>
          <w:sz w:val="20"/>
          <w:szCs w:val="20"/>
          <w:lang w:eastAsia="pl-PL"/>
        </w:rPr>
        <w:t xml:space="preserve"> traktuje się jako dochód projektu, chyba że są skompensowane równoważnym zmniejszeniem dotacji operacyjnych.</w:t>
      </w:r>
    </w:p>
    <w:p w:rsidR="008750DD" w:rsidRPr="008750DD" w:rsidRDefault="008750DD" w:rsidP="008750DD">
      <w:pPr>
        <w:ind w:left="357"/>
        <w:rPr>
          <w:rFonts w:ascii="Arial" w:hAnsi="Arial" w:cs="Arial"/>
          <w:sz w:val="20"/>
          <w:szCs w:val="20"/>
        </w:rPr>
      </w:pPr>
      <w:r w:rsidRPr="008750DD">
        <w:rPr>
          <w:rFonts w:ascii="Arial" w:eastAsia="Times New Roman" w:hAnsi="Arial" w:cs="Arial"/>
          <w:sz w:val="20"/>
          <w:szCs w:val="20"/>
          <w:lang w:eastAsia="pl-PL"/>
        </w:rPr>
        <w:t>Oszczędność kosztów</w:t>
      </w:r>
      <w:r w:rsidR="0034692B">
        <w:rPr>
          <w:rFonts w:ascii="Arial" w:eastAsia="Times New Roman" w:hAnsi="Arial" w:cs="Arial"/>
          <w:sz w:val="20"/>
          <w:szCs w:val="20"/>
          <w:lang w:eastAsia="pl-PL"/>
        </w:rPr>
        <w:t xml:space="preserve"> operacyjnych powinna zostać uwzględniona w analizie luki w finansowaniu, chyba że </w:t>
      </w:r>
      <w:r w:rsidRPr="008750DD">
        <w:rPr>
          <w:rFonts w:ascii="Arial" w:eastAsia="Times New Roman" w:hAnsi="Arial" w:cs="Arial"/>
          <w:sz w:val="20"/>
          <w:szCs w:val="20"/>
          <w:lang w:eastAsia="pl-PL"/>
        </w:rPr>
        <w:t xml:space="preserve"> </w:t>
      </w:r>
      <w:r w:rsidRPr="008750DD">
        <w:rPr>
          <w:rFonts w:ascii="Arial" w:hAnsi="Arial" w:cs="Arial"/>
          <w:sz w:val="20"/>
          <w:szCs w:val="20"/>
        </w:rPr>
        <w:t xml:space="preserve">zostanie spełniony jeden z poniższych warunków: </w:t>
      </w: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I. projekt dotyczy wdrożenia środków w zakresie efektywności energetycznej, czyli obejmuje zadania, których celem jest zmniejszenie zapotrzebowania infrastruktury objętej projektem na </w:t>
      </w:r>
      <w:r w:rsidRPr="008750DD">
        <w:rPr>
          <w:rFonts w:ascii="Arial" w:hAnsi="Arial" w:cs="Arial"/>
          <w:color w:val="000000"/>
          <w:sz w:val="20"/>
          <w:szCs w:val="20"/>
          <w:lang w:eastAsia="pl-PL"/>
        </w:rPr>
        <w:lastRenderedPageBreak/>
        <w:t xml:space="preserve">energię lub obniżenie kosztów energii zużywanej przez tę infrastrukturę (np. poprzez wykorzystanie odnawialnych źródeł energii) </w:t>
      </w:r>
    </w:p>
    <w:p w:rsidR="00BB4B37" w:rsidRPr="00BB4B37" w:rsidRDefault="00BB4B37" w:rsidP="00BB4B37">
      <w:pPr>
        <w:autoSpaceDE w:val="0"/>
        <w:autoSpaceDN w:val="0"/>
        <w:adjustRightInd w:val="0"/>
        <w:spacing w:line="240" w:lineRule="auto"/>
        <w:rPr>
          <w:rFonts w:ascii="Arial" w:hAnsi="Arial" w:cs="Arial"/>
          <w:color w:val="000000"/>
          <w:sz w:val="20"/>
          <w:szCs w:val="20"/>
          <w:lang w:eastAsia="pl-PL"/>
        </w:rPr>
      </w:pP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lub </w:t>
      </w:r>
    </w:p>
    <w:p w:rsidR="008750DD" w:rsidRPr="008750DD" w:rsidRDefault="00BB4B37" w:rsidP="008750DD">
      <w:pPr>
        <w:ind w:left="357"/>
        <w:rPr>
          <w:rFonts w:ascii="Arial" w:hAnsi="Arial" w:cs="Arial"/>
          <w:color w:val="000000"/>
          <w:sz w:val="20"/>
          <w:szCs w:val="20"/>
          <w:lang w:eastAsia="pl-PL"/>
        </w:rPr>
      </w:pPr>
      <w:r>
        <w:rPr>
          <w:rFonts w:ascii="Arial" w:hAnsi="Arial" w:cs="Arial"/>
          <w:color w:val="000000"/>
          <w:sz w:val="20"/>
          <w:szCs w:val="20"/>
          <w:lang w:eastAsia="pl-PL"/>
        </w:rPr>
        <w:t>II.</w:t>
      </w:r>
      <w:r w:rsidR="008750DD" w:rsidRPr="008750DD">
        <w:rPr>
          <w:rFonts w:ascii="Arial" w:hAnsi="Arial" w:cs="Arial"/>
          <w:color w:val="000000"/>
          <w:sz w:val="20"/>
          <w:szCs w:val="20"/>
          <w:lang w:eastAsia="pl-PL"/>
        </w:rPr>
        <w:t xml:space="preserve"> nastąpi równoważne zmniejszenie</w:t>
      </w:r>
      <w:r>
        <w:rPr>
          <w:rFonts w:ascii="Arial" w:hAnsi="Arial" w:cs="Arial"/>
          <w:color w:val="000000"/>
          <w:sz w:val="20"/>
          <w:szCs w:val="20"/>
          <w:lang w:eastAsia="pl-PL"/>
        </w:rPr>
        <w:t xml:space="preserve"> dotacji na </w:t>
      </w:r>
      <w:proofErr w:type="spellStart"/>
      <w:r>
        <w:rPr>
          <w:rFonts w:ascii="Arial" w:hAnsi="Arial" w:cs="Arial"/>
          <w:color w:val="000000"/>
          <w:sz w:val="20"/>
          <w:szCs w:val="20"/>
          <w:lang w:eastAsia="pl-PL"/>
        </w:rPr>
        <w:t>dzi</w:t>
      </w:r>
      <w:r w:rsidR="009A5E52">
        <w:rPr>
          <w:rFonts w:ascii="Arial" w:hAnsi="Arial" w:cs="Arial"/>
          <w:color w:val="000000"/>
          <w:sz w:val="20"/>
          <w:szCs w:val="20"/>
          <w:lang w:eastAsia="pl-PL"/>
        </w:rPr>
        <w:t>a</w:t>
      </w:r>
      <w:r>
        <w:rPr>
          <w:rFonts w:ascii="Arial" w:hAnsi="Arial" w:cs="Arial"/>
          <w:color w:val="000000"/>
          <w:sz w:val="20"/>
          <w:szCs w:val="20"/>
          <w:lang w:eastAsia="pl-PL"/>
        </w:rPr>
        <w:t>łalnośc</w:t>
      </w:r>
      <w:proofErr w:type="spellEnd"/>
      <w:r>
        <w:rPr>
          <w:rFonts w:ascii="Arial" w:hAnsi="Arial" w:cs="Arial"/>
          <w:color w:val="000000"/>
          <w:sz w:val="20"/>
          <w:szCs w:val="20"/>
          <w:lang w:eastAsia="pl-PL"/>
        </w:rPr>
        <w:t xml:space="preserve"> operacyjną. </w:t>
      </w:r>
      <w:r w:rsidR="008750DD" w:rsidRPr="008750DD">
        <w:rPr>
          <w:rFonts w:ascii="Arial" w:hAnsi="Arial" w:cs="Arial"/>
          <w:color w:val="000000"/>
          <w:sz w:val="20"/>
          <w:szCs w:val="20"/>
          <w:lang w:eastAsia="pl-PL"/>
        </w:rPr>
        <w:t xml:space="preserve"> </w:t>
      </w:r>
    </w:p>
    <w:p w:rsidR="008750DD" w:rsidRDefault="008750DD" w:rsidP="00F7588D">
      <w:pPr>
        <w:rPr>
          <w:rFonts w:ascii="Arial" w:hAnsi="Arial" w:cs="Arial"/>
          <w:b/>
          <w:bCs/>
          <w:sz w:val="20"/>
          <w:szCs w:val="20"/>
        </w:rPr>
      </w:pPr>
    </w:p>
    <w:p w:rsidR="00F7588D" w:rsidRDefault="00AE73FA">
      <w:pPr>
        <w:pStyle w:val="Akapitzlist"/>
        <w:numPr>
          <w:ilvl w:val="0"/>
          <w:numId w:val="16"/>
        </w:numPr>
        <w:ind w:left="357" w:hanging="357"/>
        <w:jc w:val="both"/>
        <w:rPr>
          <w:rFonts w:ascii="Arial" w:hAnsi="Arial" w:cs="Arial"/>
          <w:bCs/>
          <w:sz w:val="20"/>
          <w:szCs w:val="20"/>
        </w:rPr>
      </w:pPr>
      <w:r w:rsidRPr="00AE73FA">
        <w:rPr>
          <w:rFonts w:ascii="Arial" w:hAnsi="Arial" w:cs="Arial"/>
          <w:b/>
          <w:bCs/>
          <w:sz w:val="20"/>
          <w:szCs w:val="20"/>
        </w:rPr>
        <w:t>projekt</w:t>
      </w:r>
      <w:r w:rsidR="00606432" w:rsidRPr="00650401">
        <w:rPr>
          <w:rFonts w:ascii="Arial" w:hAnsi="Arial" w:cs="Arial"/>
          <w:bCs/>
          <w:sz w:val="20"/>
          <w:szCs w:val="20"/>
        </w:rPr>
        <w:t xml:space="preserve"> </w:t>
      </w:r>
      <w:r w:rsidR="00606432" w:rsidRPr="00650401">
        <w:rPr>
          <w:rFonts w:ascii="Arial" w:eastAsia="Times New Roman" w:hAnsi="Arial" w:cs="Arial"/>
          <w:sz w:val="20"/>
          <w:szCs w:val="20"/>
          <w:lang w:eastAsia="pl-PL"/>
        </w:rPr>
        <w:t>–</w:t>
      </w:r>
      <w:r w:rsidR="00606432" w:rsidRPr="00650401">
        <w:rPr>
          <w:rFonts w:ascii="Arial" w:hAnsi="Arial" w:cs="Arial"/>
          <w:bCs/>
          <w:sz w:val="20"/>
          <w:szCs w:val="20"/>
        </w:rPr>
        <w:t xml:space="preserve"> przedsięwzięcie, o którym mowa w art. 2 pkt 18 ustawy wdrożeniowej, szczegółowo opisane w dokumentacji aplikacyjne</w:t>
      </w:r>
      <w:r w:rsidR="008A7669">
        <w:rPr>
          <w:rFonts w:ascii="Arial" w:hAnsi="Arial" w:cs="Arial"/>
          <w:bCs/>
          <w:sz w:val="20"/>
          <w:szCs w:val="20"/>
        </w:rPr>
        <w:t>j</w:t>
      </w:r>
      <w:r w:rsidR="00D649DC">
        <w:rPr>
          <w:rFonts w:ascii="Arial" w:hAnsi="Arial" w:cs="Arial"/>
          <w:bCs/>
          <w:sz w:val="20"/>
          <w:szCs w:val="20"/>
        </w:rPr>
        <w:t>,</w:t>
      </w:r>
      <w:r w:rsidR="008A7669">
        <w:rPr>
          <w:rFonts w:ascii="Arial" w:hAnsi="Arial" w:cs="Arial"/>
          <w:bCs/>
          <w:sz w:val="20"/>
          <w:szCs w:val="20"/>
        </w:rPr>
        <w:t xml:space="preserve"> a w przypadku projektów pozakonkursowych </w:t>
      </w:r>
      <w:r w:rsidR="008A7669" w:rsidRPr="003B6E99">
        <w:rPr>
          <w:rFonts w:ascii="Arial" w:eastAsia="Times New Roman" w:hAnsi="Arial" w:cs="Arial"/>
          <w:sz w:val="20"/>
          <w:szCs w:val="20"/>
          <w:lang w:eastAsia="pl-PL"/>
        </w:rPr>
        <w:t xml:space="preserve">wpisane do </w:t>
      </w:r>
      <w:r w:rsidR="008A7669" w:rsidRPr="003B6E99">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8A7669" w:rsidRPr="003B6E99">
        <w:rPr>
          <w:rFonts w:ascii="Arial" w:eastAsia="Times New Roman" w:hAnsi="Arial" w:cs="Arial"/>
          <w:sz w:val="20"/>
          <w:szCs w:val="20"/>
          <w:lang w:eastAsia="pl-PL"/>
        </w:rPr>
        <w:t xml:space="preserve">; </w:t>
      </w:r>
    </w:p>
    <w:p w:rsidR="00606432"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 duży</w:t>
      </w:r>
      <w:r w:rsidR="00A1027B" w:rsidRPr="00650401">
        <w:rPr>
          <w:rFonts w:ascii="Arial" w:hAnsi="Arial" w:cs="Arial"/>
          <w:bCs/>
          <w:sz w:val="20"/>
          <w:szCs w:val="20"/>
        </w:rPr>
        <w:t xml:space="preserve">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sz w:val="20"/>
          <w:szCs w:val="20"/>
        </w:rPr>
        <w:t xml:space="preserve">projekt hybrydowy </w:t>
      </w:r>
      <w:r w:rsidR="00606432" w:rsidRPr="00A67AAC">
        <w:rPr>
          <w:rFonts w:ascii="Arial" w:hAnsi="Arial" w:cs="Arial"/>
          <w:sz w:val="20"/>
          <w:szCs w:val="20"/>
        </w:rPr>
        <w:t xml:space="preserve">–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8750DD" w:rsidRDefault="00AE73FA" w:rsidP="008750DD">
      <w:pPr>
        <w:pStyle w:val="Akapitzlist"/>
        <w:numPr>
          <w:ilvl w:val="0"/>
          <w:numId w:val="16"/>
        </w:numPr>
        <w:ind w:left="357" w:hanging="357"/>
        <w:jc w:val="both"/>
        <w:rPr>
          <w:rFonts w:ascii="Arial" w:hAnsi="Arial" w:cs="Arial"/>
          <w:sz w:val="20"/>
          <w:szCs w:val="20"/>
        </w:rPr>
      </w:pPr>
      <w:r w:rsidRPr="00AE73FA">
        <w:rPr>
          <w:rFonts w:ascii="Arial" w:hAnsi="Arial" w:cs="Arial"/>
          <w:b/>
          <w:sz w:val="20"/>
          <w:szCs w:val="20"/>
        </w:rPr>
        <w:t>przychód</w:t>
      </w:r>
      <w:r w:rsidR="00420E2E" w:rsidRPr="00F01955">
        <w:rPr>
          <w:rFonts w:ascii="Arial" w:hAnsi="Arial" w:cs="Arial"/>
          <w:sz w:val="20"/>
          <w:szCs w:val="20"/>
        </w:rPr>
        <w:t xml:space="preserve"> </w:t>
      </w:r>
      <w:r w:rsidR="00420E2E" w:rsidRPr="00A67AAC">
        <w:rPr>
          <w:rFonts w:ascii="Arial" w:hAnsi="Arial" w:cs="Arial"/>
          <w:sz w:val="20"/>
          <w:szCs w:val="20"/>
        </w:rPr>
        <w:t>–</w:t>
      </w:r>
      <w:r w:rsidR="00420E2E">
        <w:rPr>
          <w:rFonts w:ascii="Arial" w:hAnsi="Arial" w:cs="Arial"/>
          <w:sz w:val="20"/>
          <w:szCs w:val="20"/>
        </w:rPr>
        <w:t xml:space="preserve"> </w:t>
      </w:r>
      <w:r w:rsidR="00420E2E"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w:t>
      </w:r>
      <w:r w:rsidR="001E25A5">
        <w:rPr>
          <w:rFonts w:ascii="Arial" w:hAnsi="Arial" w:cs="Arial"/>
          <w:sz w:val="20"/>
          <w:szCs w:val="20"/>
        </w:rPr>
        <w:t xml:space="preserve"> </w:t>
      </w:r>
      <w:r w:rsidR="001E25A5" w:rsidRPr="00C647A7">
        <w:rPr>
          <w:rFonts w:ascii="Arial" w:hAnsi="Arial" w:cs="Arial"/>
          <w:sz w:val="20"/>
          <w:szCs w:val="20"/>
        </w:rPr>
        <w:t xml:space="preserve">Ponadto przychód projektu stanowią wpływy ze sprzedaży materiałów </w:t>
      </w:r>
      <w:proofErr w:type="spellStart"/>
      <w:r w:rsidR="001E25A5" w:rsidRPr="00C647A7">
        <w:rPr>
          <w:rFonts w:ascii="Arial" w:hAnsi="Arial" w:cs="Arial"/>
          <w:sz w:val="20"/>
          <w:szCs w:val="20"/>
        </w:rPr>
        <w:t>staroużytecznych</w:t>
      </w:r>
      <w:proofErr w:type="spellEnd"/>
      <w:r w:rsidR="001E25A5" w:rsidRPr="00C647A7">
        <w:rPr>
          <w:rFonts w:ascii="Arial" w:hAnsi="Arial" w:cs="Arial"/>
          <w:sz w:val="20"/>
          <w:szCs w:val="20"/>
        </w:rPr>
        <w:t xml:space="preserve"> odzyskanych na etapie realizacji inwestycji.</w:t>
      </w:r>
      <w:r w:rsidR="001E25A5">
        <w:rPr>
          <w:rFonts w:ascii="Arial" w:hAnsi="Arial" w:cs="Arial"/>
          <w:color w:val="FF0000"/>
          <w:sz w:val="20"/>
          <w:szCs w:val="20"/>
        </w:rPr>
        <w:t xml:space="preserve"> </w:t>
      </w:r>
    </w:p>
    <w:p w:rsidR="008750DD" w:rsidRPr="008750DD" w:rsidRDefault="008750DD" w:rsidP="008750DD">
      <w:pPr>
        <w:pStyle w:val="Akapitzlist"/>
        <w:ind w:left="357"/>
        <w:jc w:val="both"/>
        <w:rPr>
          <w:rFonts w:ascii="Arial" w:hAnsi="Arial" w:cs="Arial"/>
          <w:sz w:val="20"/>
          <w:szCs w:val="20"/>
        </w:rPr>
      </w:pPr>
      <w:r w:rsidRPr="008750DD">
        <w:rPr>
          <w:rFonts w:ascii="Arial" w:hAnsi="Arial" w:cs="Arial"/>
          <w:sz w:val="20"/>
          <w:szCs w:val="20"/>
        </w:rPr>
        <w:t xml:space="preserve">Przychodu projektu nie stanowią: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dotacje operacyjne i refundacje ulg ustawowych;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kaucja, czyli opłata, która wpływa do projektu, a następnie podlega zwrotowi do podmiotu wpłacającego. Wynika to z faktu, iż środki z takiej opłaty nie stanowią własności podmiotu, który ją otrzymał;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premie za otwarcie rachunku bankowego;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gwarancje bankowe;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ulgi z tytułu terminowego odprowadzenia należnych składek (np. do Zakładu Ubezpieczeń Społecznych lub urzędu skarbowego). </w:t>
      </w:r>
    </w:p>
    <w:p w:rsidR="008750DD" w:rsidRDefault="008750DD" w:rsidP="008750DD">
      <w:pPr>
        <w:pStyle w:val="Akapitzlist"/>
        <w:ind w:left="357"/>
        <w:jc w:val="both"/>
        <w:rPr>
          <w:rFonts w:ascii="Arial" w:hAnsi="Arial" w:cs="Arial"/>
          <w:sz w:val="20"/>
          <w:szCs w:val="20"/>
        </w:rPr>
      </w:pPr>
    </w:p>
    <w:p w:rsidR="0068381E" w:rsidRPr="00CD6EA2" w:rsidRDefault="0068381E" w:rsidP="0068381E">
      <w:pPr>
        <w:pStyle w:val="Akapitzlist"/>
        <w:numPr>
          <w:ilvl w:val="0"/>
          <w:numId w:val="16"/>
        </w:numPr>
        <w:tabs>
          <w:tab w:val="left" w:pos="709"/>
        </w:tabs>
        <w:autoSpaceDE w:val="0"/>
        <w:autoSpaceDN w:val="0"/>
        <w:adjustRightInd w:val="0"/>
        <w:ind w:left="357" w:hanging="357"/>
        <w:jc w:val="both"/>
        <w:rPr>
          <w:rFonts w:ascii="Arial" w:eastAsia="Times New Roman" w:hAnsi="Arial" w:cs="Arial"/>
          <w:sz w:val="20"/>
          <w:szCs w:val="20"/>
          <w:lang w:eastAsia="pl-PL"/>
        </w:rPr>
      </w:pPr>
      <w:r w:rsidRPr="0099523B">
        <w:rPr>
          <w:rFonts w:ascii="Arial" w:hAnsi="Arial" w:cs="Arial"/>
          <w:b/>
          <w:bCs/>
          <w:sz w:val="20"/>
          <w:szCs w:val="20"/>
        </w:rPr>
        <w:t>umowa</w:t>
      </w:r>
      <w:r>
        <w:rPr>
          <w:rFonts w:ascii="Arial" w:hAnsi="Arial" w:cs="Arial"/>
          <w:b/>
          <w:bCs/>
          <w:sz w:val="20"/>
          <w:szCs w:val="20"/>
        </w:rPr>
        <w:t>/decyzja</w:t>
      </w:r>
      <w:r w:rsidRPr="0099523B">
        <w:rPr>
          <w:rFonts w:ascii="Arial" w:hAnsi="Arial" w:cs="Arial"/>
          <w:b/>
          <w:bCs/>
          <w:sz w:val="20"/>
          <w:szCs w:val="20"/>
        </w:rPr>
        <w:t xml:space="preserve"> o dofinansowanie (umowa) </w:t>
      </w:r>
      <w:r w:rsidRPr="0099523B">
        <w:rPr>
          <w:rFonts w:ascii="Arial" w:hAnsi="Arial" w:cs="Arial"/>
          <w:bCs/>
          <w:sz w:val="20"/>
          <w:szCs w:val="20"/>
        </w:rPr>
        <w:t xml:space="preserve">– </w:t>
      </w:r>
      <w:r w:rsidRPr="00A86BA3">
        <w:rPr>
          <w:rFonts w:ascii="Arial" w:hAnsi="Arial" w:cs="Arial"/>
          <w:sz w:val="20"/>
          <w:szCs w:val="20"/>
        </w:rPr>
        <w:t xml:space="preserve">umowa zawarta między IZ RPO WZ a wnioskodawcą, którego projekt został wybrany do dofinansowania, zawierająca co najmniej </w:t>
      </w:r>
      <w:r w:rsidRPr="00A86BA3">
        <w:rPr>
          <w:rFonts w:ascii="Arial" w:hAnsi="Arial" w:cs="Arial"/>
          <w:sz w:val="20"/>
          <w:szCs w:val="20"/>
        </w:rPr>
        <w:lastRenderedPageBreak/>
        <w:t>elementy, o których mowa w art. 206 ust. 2 ustawy z dnia 27 sierpnia 2009 r. o finansach publicznych</w:t>
      </w:r>
      <w:r>
        <w:rPr>
          <w:rFonts w:ascii="Arial" w:hAnsi="Arial" w:cs="Arial"/>
          <w:sz w:val="20"/>
          <w:szCs w:val="20"/>
        </w:rPr>
        <w:t>/decyzja o dofinansowaniu podjęta przez IZ RPO WZ, która stanowi podstawę dofinansowania projektu, w przypadku gdy wnioskodawcą jest Województwo Zachodniopomorskie</w:t>
      </w:r>
      <w:r w:rsidRPr="00A86BA3">
        <w:rPr>
          <w:rFonts w:ascii="Arial" w:hAnsi="Arial" w:cs="Arial"/>
          <w:bCs/>
          <w:sz w:val="20"/>
          <w:szCs w:val="20"/>
        </w:rPr>
        <w:t>;</w:t>
      </w:r>
    </w:p>
    <w:p w:rsidR="00777814"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wniosek o dofinansowanie (dokumentacja aplikacyjna)</w:t>
      </w:r>
      <w:r w:rsidR="002E7ECD" w:rsidRPr="002E7ECD">
        <w:rPr>
          <w:rFonts w:ascii="Arial" w:hAnsi="Arial" w:cs="Arial"/>
          <w:bCs/>
          <w:sz w:val="20"/>
          <w:szCs w:val="20"/>
        </w:rPr>
        <w:t xml:space="preserve"> </w:t>
      </w:r>
      <w:r w:rsidR="00606432" w:rsidRPr="002E7ECD">
        <w:rPr>
          <w:rFonts w:ascii="Arial" w:hAnsi="Arial" w:cs="Arial"/>
          <w:bCs/>
          <w:sz w:val="20"/>
          <w:szCs w:val="20"/>
        </w:rPr>
        <w:t>– dokument</w:t>
      </w:r>
      <w:r w:rsidR="00606432" w:rsidRPr="002E7ECD">
        <w:rPr>
          <w:rFonts w:ascii="Arial" w:hAnsi="Arial" w:cs="Arial"/>
          <w:sz w:val="20"/>
          <w:szCs w:val="20"/>
        </w:rPr>
        <w:t xml:space="preserve">, </w:t>
      </w:r>
      <w:r w:rsidR="00606432"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00606432" w:rsidRPr="002E7ECD">
        <w:rPr>
          <w:rFonts w:ascii="Arial" w:hAnsi="Arial" w:cs="Arial"/>
          <w:bCs/>
          <w:sz w:val="20"/>
          <w:szCs w:val="20"/>
        </w:rPr>
        <w:t xml:space="preserve">a integralną część wniosku o dofinansowanie uznaje się </w:t>
      </w:r>
      <w:r w:rsidR="00606432" w:rsidRPr="002E6968">
        <w:rPr>
          <w:rFonts w:ascii="Arial" w:hAnsi="Arial" w:cs="Arial"/>
          <w:bCs/>
          <w:sz w:val="20"/>
          <w:szCs w:val="20"/>
        </w:rPr>
        <w:t xml:space="preserve">wszystkie jego załączniki; </w:t>
      </w:r>
    </w:p>
    <w:p w:rsidR="00C20C25" w:rsidRPr="009546AF"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 xml:space="preserve">wnioskodawca </w:t>
      </w:r>
      <w:r w:rsidR="00606432"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 xml:space="preserve">podmiot, </w:t>
      </w:r>
      <w:r w:rsidR="0068381E" w:rsidRPr="0099523B">
        <w:rPr>
          <w:rFonts w:ascii="Arial" w:hAnsi="Arial" w:cs="Arial"/>
          <w:bCs/>
          <w:sz w:val="20"/>
          <w:szCs w:val="20"/>
        </w:rPr>
        <w:t>który złożył wniosek o dofinansowanie projektu;</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color w:val="000000"/>
          <w:sz w:val="20"/>
          <w:szCs w:val="20"/>
          <w:lang w:eastAsia="pl-PL"/>
        </w:rPr>
        <w:t>wskaźnik „luki w finansowaniu”</w:t>
      </w:r>
      <w:r w:rsidR="008A3B55">
        <w:rPr>
          <w:rFonts w:ascii="Arial" w:hAnsi="Arial" w:cs="Arial"/>
          <w:b/>
          <w:bCs/>
          <w:color w:val="000000"/>
          <w:sz w:val="20"/>
          <w:szCs w:val="20"/>
          <w:lang w:eastAsia="pl-PL"/>
        </w:rPr>
        <w:t xml:space="preserve"> </w:t>
      </w:r>
      <w:r w:rsidR="00E930F7" w:rsidRPr="002E6968">
        <w:rPr>
          <w:rFonts w:ascii="Arial" w:hAnsi="Arial" w:cs="Arial"/>
          <w:bCs/>
          <w:color w:val="000000"/>
          <w:sz w:val="20"/>
          <w:szCs w:val="20"/>
          <w:lang w:eastAsia="pl-PL"/>
        </w:rPr>
        <w:t xml:space="preserve">- </w:t>
      </w:r>
      <w:r w:rsidR="00E930F7"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00E930F7" w:rsidRPr="005453BB">
        <w:rPr>
          <w:rFonts w:ascii="Arial" w:hAnsi="Arial" w:cs="Arial"/>
          <w:color w:val="000000"/>
          <w:sz w:val="20"/>
          <w:szCs w:val="20"/>
          <w:lang w:eastAsia="pl-PL"/>
        </w:rPr>
        <w:t>inwestycyjnych na realizację projektu, która nie jest pokryta sumą zdyskontowanych dochodów z projektu. Wyraża się ją w procentach, w odniesieniu do wartości tych nakładów;</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sz w:val="20"/>
          <w:szCs w:val="20"/>
        </w:rPr>
        <w:t>zryczałtowana procentowa stawka dochodów</w:t>
      </w:r>
      <w:r w:rsidR="00E930F7" w:rsidRPr="005453BB">
        <w:rPr>
          <w:rFonts w:ascii="Arial" w:hAnsi="Arial" w:cs="Arial"/>
          <w:bCs/>
          <w:sz w:val="20"/>
          <w:szCs w:val="20"/>
        </w:rPr>
        <w:t xml:space="preserve"> – wskaźnik wyrażający stosunek zdyskontowanych dochodów </w:t>
      </w:r>
      <w:r w:rsidR="002D7B5D">
        <w:rPr>
          <w:rFonts w:ascii="Arial" w:hAnsi="Arial" w:cs="Arial"/>
          <w:bCs/>
          <w:sz w:val="20"/>
          <w:szCs w:val="20"/>
        </w:rPr>
        <w:t>(</w:t>
      </w:r>
      <w:r w:rsidR="00E930F7" w:rsidRPr="005453BB">
        <w:rPr>
          <w:rFonts w:ascii="Arial" w:hAnsi="Arial" w:cs="Arial"/>
          <w:bCs/>
          <w:sz w:val="20"/>
          <w:szCs w:val="20"/>
        </w:rPr>
        <w:t>DNR</w:t>
      </w:r>
      <w:r w:rsidR="002D7B5D">
        <w:rPr>
          <w:rFonts w:ascii="Arial" w:hAnsi="Arial" w:cs="Arial"/>
          <w:bCs/>
          <w:sz w:val="20"/>
          <w:szCs w:val="20"/>
        </w:rPr>
        <w:t>)</w:t>
      </w:r>
      <w:r w:rsidR="00E930F7" w:rsidRPr="005453BB">
        <w:rPr>
          <w:rFonts w:ascii="Arial" w:hAnsi="Arial" w:cs="Arial"/>
          <w:bCs/>
          <w:sz w:val="20"/>
          <w:szCs w:val="20"/>
        </w:rPr>
        <w:t xml:space="preserve"> do zdyskontowanych nakładów inwestycyjnych (DIC), w projekcie typowym 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00E930F7"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9" w:name="_Toc424905321"/>
      <w:bookmarkStart w:id="20" w:name="_Toc424905968"/>
      <w:bookmarkStart w:id="21" w:name="_Toc424904860"/>
      <w:bookmarkStart w:id="22" w:name="_Toc424905053"/>
      <w:bookmarkStart w:id="23" w:name="_Toc424905323"/>
      <w:bookmarkStart w:id="24" w:name="_Toc424905970"/>
      <w:bookmarkEnd w:id="12"/>
      <w:bookmarkEnd w:id="13"/>
      <w:bookmarkEnd w:id="14"/>
      <w:bookmarkEnd w:id="15"/>
    </w:p>
    <w:p w:rsidR="00657306" w:rsidRPr="005453BB" w:rsidRDefault="006312C6" w:rsidP="00B932AE">
      <w:pPr>
        <w:pStyle w:val="Nagwek1"/>
      </w:pPr>
      <w:bookmarkStart w:id="25" w:name="_Toc444153273"/>
      <w:bookmarkStart w:id="26" w:name="_Toc454863186"/>
      <w:bookmarkStart w:id="27" w:name="_Toc525806059"/>
      <w:bookmarkEnd w:id="19"/>
      <w:bookmarkEnd w:id="20"/>
      <w:r w:rsidRPr="005453BB">
        <w:t xml:space="preserve">Rozdział 1 Podstawy prawne i zakres </w:t>
      </w:r>
      <w:bookmarkEnd w:id="25"/>
      <w:r w:rsidR="00E96459" w:rsidRPr="005453BB">
        <w:t>zastosowania</w:t>
      </w:r>
      <w:bookmarkEnd w:id="26"/>
      <w:bookmarkEnd w:id="27"/>
    </w:p>
    <w:p w:rsidR="007E68C0" w:rsidRPr="005E0F3C" w:rsidRDefault="00657306" w:rsidP="005027B7">
      <w:pPr>
        <w:pStyle w:val="Nagwek2"/>
        <w:numPr>
          <w:ilvl w:val="1"/>
          <w:numId w:val="38"/>
        </w:numPr>
      </w:pPr>
      <w:bookmarkStart w:id="28" w:name="_Toc444153274"/>
      <w:bookmarkStart w:id="29" w:name="_Toc454863187"/>
      <w:bookmarkStart w:id="30" w:name="_Toc525806060"/>
      <w:r w:rsidRPr="005E0F3C">
        <w:t>Podstawy prawne</w:t>
      </w:r>
      <w:bookmarkEnd w:id="28"/>
      <w:bookmarkEnd w:id="29"/>
      <w:bookmarkEnd w:id="30"/>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AE73FA" w:rsidRPr="00AE73FA" w:rsidRDefault="00AE73FA" w:rsidP="00AE73FA">
      <w:pPr>
        <w:pStyle w:val="Akapitzlist"/>
        <w:numPr>
          <w:ilvl w:val="0"/>
          <w:numId w:val="17"/>
        </w:numPr>
        <w:jc w:val="both"/>
        <w:rPr>
          <w:rFonts w:ascii="Arial" w:hAnsi="Arial" w:cs="Arial"/>
          <w:sz w:val="20"/>
          <w:szCs w:val="20"/>
        </w:rPr>
      </w:pPr>
      <w:r w:rsidRPr="001B1012">
        <w:rPr>
          <w:rFonts w:ascii="Arial" w:hAnsi="Arial" w:cs="Arial"/>
          <w:sz w:val="20"/>
          <w:szCs w:val="20"/>
        </w:rPr>
        <w:t>Rozporządzenie Parlamentu Europejskiego i Rady (UE) nr 1303/2013 z dnia 17 grudnia</w:t>
      </w:r>
      <w:r w:rsidRPr="00AE73FA">
        <w:rPr>
          <w:rFonts w:ascii="Arial" w:hAnsi="Arial" w:cs="Arial"/>
          <w:sz w:val="20"/>
          <w:szCs w:val="20"/>
        </w:rPr>
        <w:t xml:space="preserve">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691B9C" w:rsidRPr="00691B9C">
        <w:rPr>
          <w:rFonts w:ascii="Arial" w:hAnsi="Arial" w:cs="Arial"/>
          <w:sz w:val="20"/>
          <w:szCs w:val="20"/>
        </w:rPr>
        <w:t>z dnia 2013.12.20, z późn. zm.</w:t>
      </w:r>
      <w:r w:rsidR="007A0DE1">
        <w:rPr>
          <w:rFonts w:ascii="Arial" w:hAnsi="Arial" w:cs="Arial"/>
          <w:sz w:val="20"/>
          <w:szCs w:val="20"/>
        </w:rPr>
        <w:t xml:space="preserve">, w </w:t>
      </w:r>
      <w:r w:rsidR="008750DD" w:rsidRPr="008750DD">
        <w:rPr>
          <w:rFonts w:ascii="Arial" w:hAnsi="Arial" w:cs="Arial"/>
          <w:sz w:val="20"/>
          <w:szCs w:val="20"/>
        </w:rPr>
        <w:t>tym nowelizacja wprowadzona Rozporządzeniem Parlamentu Europejskiego i Rady (UE, Euratom) 2018/1046 z dnia 18 lipca 2018 r. w sprawie zasad finansowych mających zastosowanie do budżetu ogólnego Unii, zmieniające rozporządzenia (UE) nr 1296/2013, (UE) nr 1301/2013, (UE) nr 1303/2013, (UE) nr</w:t>
      </w:r>
      <w:r w:rsidR="007A0DE1">
        <w:rPr>
          <w:sz w:val="20"/>
          <w:szCs w:val="20"/>
        </w:rPr>
        <w:t xml:space="preserve"> </w:t>
      </w:r>
      <w:r w:rsidR="008750DD" w:rsidRPr="008750DD">
        <w:rPr>
          <w:rFonts w:ascii="Arial" w:hAnsi="Arial" w:cs="Arial"/>
          <w:sz w:val="20"/>
          <w:szCs w:val="20"/>
        </w:rPr>
        <w:t>1304/2013, (UE) nr 1309/2013, (UE) nr 1316/2013, (UE) nr 223/2014 i (UE) nr 283/2014 oraz decyzję nr 541/2014/UE, a także uchylające rozporządzenie (UE, Euratom) nr 966/2012. Dziennik Urzędowy Unii Europejskiej z 30.07.2018 r., nr L 193, zwana „rozporządzeniem nr 2018/1046”.</w:t>
      </w:r>
      <w:r w:rsidR="00691B9C" w:rsidRPr="00691B9C">
        <w:rPr>
          <w:rFonts w:ascii="Arial" w:hAnsi="Arial" w:cs="Arial"/>
          <w:sz w:val="20"/>
          <w:szCs w:val="20"/>
        </w:rPr>
        <w:t>),</w:t>
      </w:r>
      <w:r w:rsidRPr="00AE73FA">
        <w:rPr>
          <w:rFonts w:ascii="Arial" w:hAnsi="Arial" w:cs="Arial"/>
          <w:sz w:val="20"/>
          <w:szCs w:val="20"/>
        </w:rPr>
        <w:t xml:space="preserve"> zwane dalej rozporządzeniem ogólnym;</w:t>
      </w:r>
    </w:p>
    <w:p w:rsidR="00AE73FA" w:rsidRPr="00AD7CE2" w:rsidRDefault="00606432" w:rsidP="00AD7CE2">
      <w:pPr>
        <w:pStyle w:val="Akapitzlist"/>
        <w:numPr>
          <w:ilvl w:val="0"/>
          <w:numId w:val="17"/>
        </w:numPr>
        <w:jc w:val="both"/>
        <w:rPr>
          <w:rFonts w:ascii="Arial" w:hAnsi="Arial" w:cs="Arial"/>
          <w:sz w:val="20"/>
        </w:rPr>
      </w:pPr>
      <w:bookmarkStart w:id="31" w:name="_Toc525560191"/>
      <w:bookmarkStart w:id="32" w:name="_Toc525560656"/>
      <w:r w:rsidRPr="00AD7CE2">
        <w:rPr>
          <w:rFonts w:ascii="Arial" w:hAnsi="Arial" w:cs="Arial"/>
          <w:sz w:val="20"/>
        </w:rPr>
        <w:lastRenderedPageBreak/>
        <w:t>Rozporządzenie delegowane Komisji (UE) nr 480/2014 z dnia 3 marca 2014 r. uzupełniające rozporządzenie Parlamentu Europejskiego i Rady (UE) nr 1303/2013 z dnia 17 grudnia 2013 r. ustanawiające wspólne przepisy dotyczące Europejskiego Funduszu Rozwoju Region</w:t>
      </w:r>
      <w:r w:rsidR="00EF6D10" w:rsidRPr="00AD7CE2">
        <w:rPr>
          <w:rFonts w:ascii="Arial" w:hAnsi="Arial" w:cs="Arial"/>
          <w:sz w:val="20"/>
        </w:rPr>
        <w:t>alnego, Europejskiego Funduszu Społecznego, Funduszu Spójności, Europejskiego Funduszu Rolnego na rzecz Rozwoju Obszarów Wiejskich oraz Europejskiego Funduszu Morskiego i Rybackiego oraz ustanawiające przepisy ogólne dotyczące Europejskiego Funduszu Rozwoju Region</w:t>
      </w:r>
      <w:r w:rsidR="00731CAA" w:rsidRPr="00AD7CE2">
        <w:rPr>
          <w:rFonts w:ascii="Arial" w:hAnsi="Arial" w:cs="Arial"/>
          <w:sz w:val="20"/>
        </w:rPr>
        <w:t>alnego, Europejskiego Funduszu Społecznego, Funduszu Spójności i Europejskiego Funduszu Morskiego i Rybackiego (Dz.U.UE.L.2014.138.5 z dnia 2014.05.13</w:t>
      </w:r>
      <w:r w:rsidR="00494B02" w:rsidRPr="00AD7CE2">
        <w:rPr>
          <w:rFonts w:ascii="Arial" w:hAnsi="Arial" w:cs="Arial"/>
          <w:sz w:val="20"/>
        </w:rPr>
        <w:t>, ze zm.</w:t>
      </w:r>
      <w:r w:rsidR="00AE73FA" w:rsidRPr="00AD7CE2">
        <w:rPr>
          <w:rFonts w:ascii="Arial" w:hAnsi="Arial" w:cs="Arial"/>
          <w:sz w:val="20"/>
        </w:rPr>
        <w:t>), zwane dalej rozporządzeniem delegowanym;</w:t>
      </w:r>
      <w:bookmarkEnd w:id="31"/>
      <w:bookmarkEnd w:id="32"/>
    </w:p>
    <w:p w:rsidR="00AE73FA" w:rsidRPr="00D61560" w:rsidRDefault="00B25757" w:rsidP="00D61560">
      <w:pPr>
        <w:pStyle w:val="Akapitzlist"/>
        <w:numPr>
          <w:ilvl w:val="0"/>
          <w:numId w:val="17"/>
        </w:numPr>
        <w:rPr>
          <w:rFonts w:ascii="Arial" w:hAnsi="Arial" w:cs="Arial"/>
          <w:sz w:val="20"/>
        </w:rPr>
      </w:pPr>
      <w:bookmarkStart w:id="33" w:name="_Toc525560192"/>
      <w:bookmarkStart w:id="34" w:name="_Toc525560657"/>
      <w:r w:rsidRPr="00D61560">
        <w:rPr>
          <w:rFonts w:ascii="Arial" w:hAnsi="Arial" w:cs="Arial"/>
          <w:sz w:val="20"/>
        </w:rPr>
        <w:t>Rozporządzenie delegowane Komisji (UE) 2015/1516 z dnia 10 czerwca 2015 r. ustanawiające na mocy rozporządzenia (UE) nr 1303/2013 Parlamentu Europejskiego i Rady, stawki zryczałtowane dla operacji fin</w:t>
      </w:r>
      <w:r w:rsidR="00EF6D10" w:rsidRPr="00D61560">
        <w:rPr>
          <w:rFonts w:ascii="Arial" w:hAnsi="Arial" w:cs="Arial"/>
          <w:sz w:val="20"/>
        </w:rPr>
        <w:t>ansowanych z europejskich funduszy strukturalnych i inwestycyjnych w sektorze badań, Rozwoju i innowacji (</w:t>
      </w:r>
      <w:r w:rsidR="008A3B55" w:rsidRPr="00D61560">
        <w:rPr>
          <w:rFonts w:ascii="Arial" w:hAnsi="Arial" w:cs="Arial"/>
          <w:sz w:val="20"/>
        </w:rPr>
        <w:t>Dz.U.UE.L.2015.239.65 z dnia 2015.09.15</w:t>
      </w:r>
      <w:r w:rsidRPr="00D61560">
        <w:rPr>
          <w:rFonts w:ascii="Arial" w:hAnsi="Arial" w:cs="Arial"/>
          <w:sz w:val="20"/>
        </w:rPr>
        <w:t>), zwane dalej „rozporządzeniem nr 2015/1516”</w:t>
      </w:r>
      <w:bookmarkEnd w:id="33"/>
      <w:bookmarkEnd w:id="34"/>
    </w:p>
    <w:p w:rsidR="00AE73FA" w:rsidRPr="00D61560" w:rsidRDefault="00606432" w:rsidP="00D61560">
      <w:pPr>
        <w:pStyle w:val="Akapitzlist"/>
        <w:numPr>
          <w:ilvl w:val="0"/>
          <w:numId w:val="17"/>
        </w:numPr>
        <w:rPr>
          <w:rFonts w:ascii="Arial" w:hAnsi="Arial" w:cs="Arial"/>
          <w:sz w:val="20"/>
        </w:rPr>
      </w:pPr>
      <w:bookmarkStart w:id="35" w:name="_Toc525560193"/>
      <w:bookmarkStart w:id="36" w:name="_Toc525560658"/>
      <w:r w:rsidRPr="00D61560">
        <w:rPr>
          <w:rFonts w:ascii="Arial" w:hAnsi="Arial" w:cs="Arial"/>
          <w:sz w:val="20"/>
        </w:rPr>
        <w:t>Rozporządzenie Komisji (UE) nr 651/2014 z dnia 17 czerwca 2014 r. uznające niektóre rodzaje pomocy za zgodne z rynkiem wewnętrznym w zastosowaniu art. 107 i 108 Traktatu</w:t>
      </w:r>
      <w:r w:rsidR="00D54FE5" w:rsidRPr="00D61560">
        <w:rPr>
          <w:rFonts w:ascii="Arial" w:hAnsi="Arial" w:cs="Arial"/>
          <w:sz w:val="20"/>
        </w:rPr>
        <w:t xml:space="preserve"> (</w:t>
      </w:r>
      <w:r w:rsidR="008A3B55" w:rsidRPr="00D61560">
        <w:rPr>
          <w:rFonts w:ascii="Arial" w:hAnsi="Arial" w:cs="Arial"/>
          <w:sz w:val="20"/>
        </w:rPr>
        <w:t>Dz.U.UE.L.2014.187.1 z dnia 2014.06.26</w:t>
      </w:r>
      <w:r w:rsidR="00494B02" w:rsidRPr="00D61560">
        <w:rPr>
          <w:rFonts w:ascii="Arial" w:hAnsi="Arial" w:cs="Arial"/>
          <w:sz w:val="20"/>
        </w:rPr>
        <w:t>, ze zm.</w:t>
      </w:r>
      <w:r w:rsidR="008A3B55" w:rsidRPr="00D61560">
        <w:rPr>
          <w:rFonts w:ascii="Arial" w:hAnsi="Arial" w:cs="Arial"/>
          <w:sz w:val="20"/>
        </w:rPr>
        <w:t xml:space="preserve"> </w:t>
      </w:r>
      <w:r w:rsidR="00D54FE5" w:rsidRPr="00D61560">
        <w:rPr>
          <w:rFonts w:ascii="Arial" w:hAnsi="Arial" w:cs="Arial"/>
          <w:sz w:val="20"/>
        </w:rPr>
        <w:t>)</w:t>
      </w:r>
      <w:r w:rsidRPr="00D61560">
        <w:rPr>
          <w:rFonts w:ascii="Arial" w:hAnsi="Arial" w:cs="Arial"/>
          <w:sz w:val="20"/>
        </w:rPr>
        <w:t>;</w:t>
      </w:r>
      <w:bookmarkEnd w:id="35"/>
      <w:bookmarkEnd w:id="36"/>
    </w:p>
    <w:p w:rsidR="00AE73FA" w:rsidRPr="00732AB4" w:rsidRDefault="00B96D20" w:rsidP="00732AB4">
      <w:pPr>
        <w:pStyle w:val="Akapitzlist"/>
        <w:numPr>
          <w:ilvl w:val="0"/>
          <w:numId w:val="17"/>
        </w:numPr>
        <w:jc w:val="both"/>
        <w:rPr>
          <w:rFonts w:ascii="Arial" w:hAnsi="Arial" w:cs="Arial"/>
          <w:sz w:val="20"/>
        </w:rPr>
      </w:pPr>
      <w:bookmarkStart w:id="37" w:name="_Toc525560194"/>
      <w:bookmarkStart w:id="38" w:name="_Toc525560659"/>
      <w:r w:rsidRPr="00732AB4">
        <w:rPr>
          <w:rFonts w:ascii="Arial" w:hAnsi="Arial" w:cs="Arial"/>
          <w:sz w:val="20"/>
        </w:rPr>
        <w:t>Ustawę z dnia 11 lipca 2014 r. o zasadach realizacji programów w zakresie polityki spójności finansowanych w perspektywie finansowej  2014-2020 (Dz. U. z 201</w:t>
      </w:r>
      <w:r w:rsidR="00494B02" w:rsidRPr="00732AB4">
        <w:rPr>
          <w:rFonts w:ascii="Arial" w:hAnsi="Arial" w:cs="Arial"/>
          <w:sz w:val="20"/>
        </w:rPr>
        <w:t>8</w:t>
      </w:r>
      <w:r w:rsidRPr="00732AB4">
        <w:rPr>
          <w:rFonts w:ascii="Arial" w:hAnsi="Arial" w:cs="Arial"/>
          <w:sz w:val="20"/>
        </w:rPr>
        <w:t xml:space="preserve"> r., poz. </w:t>
      </w:r>
      <w:r w:rsidR="0068381E" w:rsidRPr="00732AB4">
        <w:rPr>
          <w:rFonts w:ascii="Arial" w:hAnsi="Arial" w:cs="Arial"/>
          <w:sz w:val="20"/>
        </w:rPr>
        <w:t>14</w:t>
      </w:r>
      <w:r w:rsidR="00494B02" w:rsidRPr="00732AB4">
        <w:rPr>
          <w:rFonts w:ascii="Arial" w:hAnsi="Arial" w:cs="Arial"/>
          <w:sz w:val="20"/>
        </w:rPr>
        <w:t>31</w:t>
      </w:r>
      <w:r w:rsidRPr="00732AB4">
        <w:rPr>
          <w:rFonts w:ascii="Arial" w:hAnsi="Arial" w:cs="Arial"/>
          <w:sz w:val="20"/>
        </w:rPr>
        <w:t xml:space="preserve"> t.j.</w:t>
      </w:r>
      <w:r w:rsidR="004F3973" w:rsidRPr="00732AB4">
        <w:rPr>
          <w:rFonts w:ascii="Arial" w:hAnsi="Arial" w:cs="Arial"/>
          <w:sz w:val="20"/>
        </w:rPr>
        <w:t>, ze zm.</w:t>
      </w:r>
      <w:r w:rsidRPr="00732AB4">
        <w:rPr>
          <w:rFonts w:ascii="Arial" w:hAnsi="Arial" w:cs="Arial"/>
          <w:sz w:val="20"/>
        </w:rPr>
        <w:t>)</w:t>
      </w:r>
      <w:r w:rsidR="00FE5713" w:rsidRPr="00732AB4">
        <w:rPr>
          <w:rFonts w:ascii="Arial" w:hAnsi="Arial" w:cs="Arial"/>
          <w:sz w:val="20"/>
        </w:rPr>
        <w:t>, zwaną dalej ustawą wdrożeniową</w:t>
      </w:r>
      <w:r w:rsidR="00FD39CC" w:rsidRPr="00732AB4">
        <w:rPr>
          <w:rFonts w:ascii="Arial" w:hAnsi="Arial" w:cs="Arial"/>
          <w:sz w:val="20"/>
        </w:rPr>
        <w:t>;</w:t>
      </w:r>
      <w:bookmarkEnd w:id="37"/>
      <w:bookmarkEnd w:id="38"/>
    </w:p>
    <w:p w:rsidR="00AE73FA" w:rsidRPr="00732AB4" w:rsidRDefault="00B96D20" w:rsidP="00732AB4">
      <w:pPr>
        <w:pStyle w:val="Akapitzlist"/>
        <w:numPr>
          <w:ilvl w:val="0"/>
          <w:numId w:val="17"/>
        </w:numPr>
        <w:jc w:val="both"/>
        <w:rPr>
          <w:rFonts w:ascii="Arial" w:hAnsi="Arial" w:cs="Arial"/>
          <w:sz w:val="20"/>
        </w:rPr>
      </w:pPr>
      <w:bookmarkStart w:id="39" w:name="_Toc525560660"/>
      <w:r w:rsidRPr="00732AB4">
        <w:rPr>
          <w:rFonts w:ascii="Arial" w:hAnsi="Arial" w:cs="Arial"/>
          <w:sz w:val="20"/>
        </w:rPr>
        <w:t>Ustawę z dnia 27 sierpnia 2009 r. o finansach publicznych (Dz. U. z 201</w:t>
      </w:r>
      <w:r w:rsidR="00494B02" w:rsidRPr="00732AB4">
        <w:rPr>
          <w:rFonts w:ascii="Arial" w:hAnsi="Arial" w:cs="Arial"/>
          <w:sz w:val="20"/>
        </w:rPr>
        <w:t>7</w:t>
      </w:r>
      <w:r w:rsidRPr="00732AB4">
        <w:rPr>
          <w:rFonts w:ascii="Arial" w:hAnsi="Arial" w:cs="Arial"/>
          <w:sz w:val="20"/>
        </w:rPr>
        <w:t xml:space="preserve"> r., poz. </w:t>
      </w:r>
      <w:r w:rsidR="00494B02" w:rsidRPr="00732AB4">
        <w:rPr>
          <w:rFonts w:ascii="Arial" w:hAnsi="Arial" w:cs="Arial"/>
          <w:sz w:val="20"/>
        </w:rPr>
        <w:t>2077</w:t>
      </w:r>
      <w:r w:rsidRPr="00732AB4">
        <w:rPr>
          <w:rFonts w:ascii="Arial" w:hAnsi="Arial" w:cs="Arial"/>
          <w:sz w:val="20"/>
        </w:rPr>
        <w:t xml:space="preserve"> t.j.</w:t>
      </w:r>
      <w:r w:rsidR="004F3973" w:rsidRPr="00732AB4">
        <w:rPr>
          <w:rFonts w:ascii="Arial" w:hAnsi="Arial" w:cs="Arial"/>
          <w:sz w:val="20"/>
        </w:rPr>
        <w:t>,</w:t>
      </w:r>
      <w:r w:rsidRPr="00732AB4">
        <w:rPr>
          <w:rFonts w:ascii="Arial" w:hAnsi="Arial" w:cs="Arial"/>
          <w:sz w:val="20"/>
        </w:rPr>
        <w:t xml:space="preserve"> </w:t>
      </w:r>
      <w:r w:rsidR="005F0C68" w:rsidRPr="00732AB4">
        <w:rPr>
          <w:rFonts w:ascii="Arial" w:hAnsi="Arial" w:cs="Arial"/>
          <w:sz w:val="20"/>
        </w:rPr>
        <w:br/>
      </w:r>
      <w:r w:rsidR="00EF6D10" w:rsidRPr="00732AB4">
        <w:rPr>
          <w:rFonts w:ascii="Arial" w:hAnsi="Arial" w:cs="Arial"/>
          <w:sz w:val="20"/>
        </w:rPr>
        <w:t>ze zm.).</w:t>
      </w:r>
      <w:bookmarkEnd w:id="39"/>
      <w:r w:rsidR="00EF6D10" w:rsidRPr="00732AB4">
        <w:rPr>
          <w:rFonts w:ascii="Arial" w:hAnsi="Arial" w:cs="Arial"/>
          <w:sz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AE73FA" w:rsidRDefault="00857C2F" w:rsidP="00AE73FA">
      <w:pPr>
        <w:pStyle w:val="Akapitzlist"/>
        <w:numPr>
          <w:ilvl w:val="0"/>
          <w:numId w:val="18"/>
        </w:numPr>
        <w:tabs>
          <w:tab w:val="left" w:pos="709"/>
        </w:tabs>
        <w:ind w:left="284" w:hanging="284"/>
        <w:jc w:val="both"/>
        <w:rPr>
          <w:rFonts w:ascii="Arial" w:hAnsi="Arial" w:cs="Arial"/>
          <w:sz w:val="20"/>
          <w:szCs w:val="20"/>
        </w:rPr>
      </w:pPr>
      <w:r w:rsidRPr="005453BB">
        <w:rPr>
          <w:rFonts w:ascii="Arial" w:hAnsi="Arial" w:cs="Arial"/>
          <w:sz w:val="20"/>
          <w:szCs w:val="20"/>
        </w:rPr>
        <w:t xml:space="preserve">Wytyczne </w:t>
      </w:r>
      <w:r w:rsidR="00371870">
        <w:rPr>
          <w:rFonts w:ascii="Arial" w:hAnsi="Arial" w:cs="Arial"/>
          <w:sz w:val="20"/>
          <w:szCs w:val="20"/>
        </w:rPr>
        <w:t xml:space="preserve">Ministerstwa </w:t>
      </w:r>
      <w:r w:rsidRPr="005453BB">
        <w:rPr>
          <w:rFonts w:ascii="Arial" w:hAnsi="Arial" w:cs="Arial"/>
          <w:sz w:val="20"/>
          <w:szCs w:val="20"/>
        </w:rPr>
        <w:t xml:space="preserve">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 xml:space="preserve">oraz Funduszu Spójności na lata 2014-2020 z dnia </w:t>
      </w:r>
      <w:r w:rsidR="0068381E">
        <w:rPr>
          <w:rFonts w:ascii="Arial" w:hAnsi="Arial" w:cs="Arial"/>
          <w:sz w:val="20"/>
          <w:szCs w:val="20"/>
        </w:rPr>
        <w:t>19 lipca 2017</w:t>
      </w:r>
      <w:r w:rsidR="002D7F5D">
        <w:rPr>
          <w:rFonts w:ascii="Arial" w:hAnsi="Arial" w:cs="Arial"/>
          <w:sz w:val="20"/>
          <w:szCs w:val="20"/>
        </w:rPr>
        <w:t xml:space="preserve"> </w:t>
      </w:r>
      <w:r w:rsidRPr="005453BB">
        <w:rPr>
          <w:rFonts w:ascii="Arial" w:hAnsi="Arial" w:cs="Arial"/>
          <w:sz w:val="20"/>
          <w:szCs w:val="20"/>
        </w:rPr>
        <w:t>r.</w:t>
      </w:r>
      <w:r w:rsidR="00D54FE5" w:rsidRPr="005453BB">
        <w:rPr>
          <w:rFonts w:ascii="Arial" w:hAnsi="Arial" w:cs="Arial"/>
          <w:sz w:val="20"/>
          <w:szCs w:val="20"/>
        </w:rPr>
        <w:t xml:space="preserve"> (zwane dalej Wytycznymi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2C623C" w:rsidRDefault="002C623C" w:rsidP="002C623C">
      <w:pPr>
        <w:pStyle w:val="Akapitzlist"/>
        <w:numPr>
          <w:ilvl w:val="0"/>
          <w:numId w:val="18"/>
        </w:numPr>
        <w:tabs>
          <w:tab w:val="left" w:pos="709"/>
        </w:tabs>
        <w:ind w:left="284" w:hanging="284"/>
        <w:jc w:val="both"/>
        <w:rPr>
          <w:rFonts w:ascii="Arial" w:hAnsi="Arial" w:cs="Arial"/>
          <w:sz w:val="20"/>
          <w:szCs w:val="20"/>
        </w:rPr>
      </w:pPr>
      <w:r w:rsidRPr="008E3E71">
        <w:rPr>
          <w:rFonts w:ascii="Arial" w:hAnsi="Arial" w:cs="Arial"/>
          <w:sz w:val="20"/>
          <w:szCs w:val="20"/>
        </w:rPr>
        <w:t xml:space="preserve">Wytyczne </w:t>
      </w:r>
      <w:r>
        <w:rPr>
          <w:rFonts w:ascii="Arial" w:hAnsi="Arial" w:cs="Arial"/>
          <w:sz w:val="20"/>
          <w:szCs w:val="20"/>
        </w:rPr>
        <w:t xml:space="preserve">Ministra </w:t>
      </w:r>
      <w:r w:rsidR="00330616">
        <w:rPr>
          <w:rFonts w:ascii="Arial" w:hAnsi="Arial" w:cs="Arial"/>
          <w:sz w:val="20"/>
          <w:szCs w:val="20"/>
        </w:rPr>
        <w:t xml:space="preserve">Inwestycji i </w:t>
      </w:r>
      <w:r>
        <w:rPr>
          <w:rFonts w:ascii="Arial" w:hAnsi="Arial" w:cs="Arial"/>
          <w:sz w:val="20"/>
          <w:szCs w:val="20"/>
        </w:rPr>
        <w:t xml:space="preserve">Rozwoju </w:t>
      </w:r>
      <w:r w:rsidRPr="008E3E71">
        <w:rPr>
          <w:rFonts w:ascii="Arial" w:hAnsi="Arial" w:cs="Arial"/>
          <w:sz w:val="20"/>
          <w:szCs w:val="20"/>
        </w:rPr>
        <w:t xml:space="preserve">w zakresie zagadnień związanych z przygotowaniem projektów inwestycyjnych, w tym projektów generujących dochód i projektów hybrydowych na lata 2014-2020 z dnia </w:t>
      </w:r>
      <w:r>
        <w:rPr>
          <w:rFonts w:ascii="Arial" w:hAnsi="Arial" w:cs="Arial"/>
          <w:sz w:val="20"/>
          <w:szCs w:val="20"/>
        </w:rPr>
        <w:t>1</w:t>
      </w:r>
      <w:r w:rsidR="00330616">
        <w:rPr>
          <w:rFonts w:ascii="Arial" w:hAnsi="Arial" w:cs="Arial"/>
          <w:sz w:val="20"/>
          <w:szCs w:val="20"/>
        </w:rPr>
        <w:t>0</w:t>
      </w:r>
      <w:r w:rsidRPr="008E3E71">
        <w:rPr>
          <w:rFonts w:ascii="Arial" w:hAnsi="Arial" w:cs="Arial"/>
          <w:sz w:val="20"/>
          <w:szCs w:val="20"/>
        </w:rPr>
        <w:t xml:space="preserve"> </w:t>
      </w:r>
      <w:r w:rsidR="00330616">
        <w:rPr>
          <w:rFonts w:ascii="Arial" w:hAnsi="Arial" w:cs="Arial"/>
          <w:sz w:val="20"/>
          <w:szCs w:val="20"/>
        </w:rPr>
        <w:t>stycznia</w:t>
      </w:r>
      <w:r w:rsidRPr="008E3E71">
        <w:rPr>
          <w:rFonts w:ascii="Arial" w:hAnsi="Arial" w:cs="Arial"/>
          <w:sz w:val="20"/>
          <w:szCs w:val="20"/>
        </w:rPr>
        <w:t xml:space="preserve"> 201</w:t>
      </w:r>
      <w:r w:rsidR="00330616">
        <w:rPr>
          <w:rFonts w:ascii="Arial" w:hAnsi="Arial" w:cs="Arial"/>
          <w:sz w:val="20"/>
          <w:szCs w:val="20"/>
        </w:rPr>
        <w:t>9</w:t>
      </w:r>
      <w:r w:rsidRPr="008E3E71">
        <w:rPr>
          <w:rFonts w:ascii="Arial" w:hAnsi="Arial" w:cs="Arial"/>
          <w:sz w:val="20"/>
          <w:szCs w:val="20"/>
        </w:rPr>
        <w:t> r. (zwane dalej Wytycznymi w zakresie zagadnień związanych z przygotowaniem projektów inwestycyjnych).</w:t>
      </w:r>
      <w:r w:rsidRPr="008E3E71" w:rsidDel="0059368A">
        <w:rPr>
          <w:rFonts w:ascii="Arial" w:hAnsi="Arial" w:cs="Arial"/>
          <w:sz w:val="20"/>
          <w:szCs w:val="20"/>
        </w:rPr>
        <w:t xml:space="preserve"> </w:t>
      </w:r>
    </w:p>
    <w:p w:rsidR="005453BB" w:rsidRPr="005453BB" w:rsidRDefault="005453BB" w:rsidP="005453BB">
      <w:pPr>
        <w:ind w:left="142"/>
        <w:jc w:val="both"/>
        <w:rPr>
          <w:rFonts w:ascii="Arial" w:hAnsi="Arial" w:cs="Arial"/>
          <w:b/>
          <w:sz w:val="20"/>
          <w:szCs w:val="20"/>
        </w:rPr>
      </w:pPr>
      <w:bookmarkStart w:id="40" w:name="_Toc446572823"/>
      <w:bookmarkStart w:id="41" w:name="_Toc446573358"/>
      <w:bookmarkStart w:id="42" w:name="_Toc446572824"/>
      <w:bookmarkStart w:id="43" w:name="_Toc446573359"/>
      <w:bookmarkStart w:id="44" w:name="_Toc446572825"/>
      <w:bookmarkStart w:id="45" w:name="_Toc446573360"/>
      <w:bookmarkStart w:id="46" w:name="_Toc444152848"/>
      <w:bookmarkStart w:id="47" w:name="_Toc444152994"/>
      <w:bookmarkStart w:id="48" w:name="_Toc444153243"/>
      <w:bookmarkStart w:id="49" w:name="_Toc444153275"/>
      <w:bookmarkStart w:id="50" w:name="_Toc444153276"/>
      <w:bookmarkStart w:id="51" w:name="_Toc454863188"/>
      <w:bookmarkStart w:id="52" w:name="_Toc436117396"/>
      <w:bookmarkEnd w:id="40"/>
      <w:bookmarkEnd w:id="41"/>
      <w:bookmarkEnd w:id="42"/>
      <w:bookmarkEnd w:id="43"/>
      <w:bookmarkEnd w:id="44"/>
      <w:bookmarkEnd w:id="45"/>
      <w:bookmarkEnd w:id="46"/>
      <w:bookmarkEnd w:id="47"/>
      <w:bookmarkEnd w:id="48"/>
      <w:bookmarkEnd w:id="49"/>
    </w:p>
    <w:p w:rsidR="00B932AE" w:rsidRPr="00B932AE" w:rsidRDefault="00C2753B" w:rsidP="005027B7">
      <w:pPr>
        <w:pStyle w:val="Nagwek2"/>
        <w:numPr>
          <w:ilvl w:val="1"/>
          <w:numId w:val="38"/>
        </w:numPr>
      </w:pPr>
      <w:bookmarkStart w:id="53" w:name="_Toc525806061"/>
      <w:r w:rsidRPr="005453BB">
        <w:t xml:space="preserve">Zakres </w:t>
      </w:r>
      <w:bookmarkEnd w:id="50"/>
      <w:r w:rsidR="00E96459" w:rsidRPr="005453BB">
        <w:t>zastosowania</w:t>
      </w:r>
      <w:bookmarkEnd w:id="51"/>
      <w:bookmarkEnd w:id="5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54" w:name="_Toc446572827"/>
      <w:bookmarkStart w:id="55" w:name="_Toc446573362"/>
      <w:bookmarkStart w:id="56" w:name="_Toc446572828"/>
      <w:bookmarkStart w:id="57" w:name="_Toc446573363"/>
      <w:bookmarkEnd w:id="54"/>
      <w:bookmarkEnd w:id="5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58" w:name="_Toc446572829"/>
      <w:bookmarkStart w:id="59" w:name="_Toc446573364"/>
      <w:bookmarkEnd w:id="56"/>
      <w:bookmarkEnd w:id="5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 xml:space="preserve">sposoby określania maksymalnej wysokości dofinansowania w oparciu o metodę luki w finansowaniu oraz metodę zryczałtowanych </w:t>
      </w:r>
      <w:r w:rsidR="00306706" w:rsidRPr="005453BB">
        <w:rPr>
          <w:rFonts w:ascii="Arial" w:hAnsi="Arial" w:cs="Arial"/>
          <w:color w:val="000000"/>
          <w:sz w:val="20"/>
          <w:szCs w:val="20"/>
          <w:lang w:eastAsia="pl-PL"/>
        </w:rPr>
        <w:lastRenderedPageBreak/>
        <w:t>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58"/>
      <w:bookmarkEnd w:id="5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60" w:name="_Toc454863189"/>
      <w:bookmarkStart w:id="61" w:name="_Toc444153277"/>
    </w:p>
    <w:p w:rsidR="00B932AE" w:rsidRPr="00B932AE" w:rsidRDefault="00151DE3" w:rsidP="00B932AE">
      <w:pPr>
        <w:pStyle w:val="Nagwek1"/>
        <w:tabs>
          <w:tab w:val="left" w:pos="142"/>
        </w:tabs>
      </w:pPr>
      <w:bookmarkStart w:id="62" w:name="_Toc525806062"/>
      <w:r w:rsidRPr="005453BB">
        <w:t xml:space="preserve">Rozdział </w:t>
      </w:r>
      <w:r w:rsidR="00930CC8" w:rsidRPr="005453BB">
        <w:t>2</w:t>
      </w:r>
      <w:r w:rsidRPr="005453BB">
        <w:t xml:space="preserve"> </w:t>
      </w:r>
      <w:bookmarkEnd w:id="52"/>
      <w:r w:rsidR="00252F11" w:rsidRPr="005453BB">
        <w:t>Charakterystyka dochodów w projekcie</w:t>
      </w:r>
      <w:bookmarkEnd w:id="60"/>
      <w:bookmarkEnd w:id="6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63" w:name="_Toc457561089"/>
      <w:bookmarkStart w:id="64" w:name="_Toc482697957"/>
      <w:bookmarkStart w:id="65" w:name="_Toc525560198"/>
      <w:bookmarkStart w:id="66" w:name="_Toc525560663"/>
      <w:bookmarkStart w:id="67" w:name="_Toc525805974"/>
      <w:bookmarkStart w:id="68" w:name="_Toc525806007"/>
      <w:bookmarkStart w:id="69" w:name="_Toc525806036"/>
      <w:bookmarkStart w:id="70" w:name="_Toc525806063"/>
      <w:bookmarkStart w:id="71" w:name="_Toc454863190"/>
      <w:bookmarkEnd w:id="61"/>
      <w:bookmarkEnd w:id="63"/>
      <w:bookmarkEnd w:id="64"/>
      <w:bookmarkEnd w:id="65"/>
      <w:bookmarkEnd w:id="66"/>
      <w:bookmarkEnd w:id="67"/>
      <w:bookmarkEnd w:id="68"/>
      <w:bookmarkEnd w:id="69"/>
      <w:bookmarkEnd w:id="70"/>
    </w:p>
    <w:p w:rsidR="00B932AE" w:rsidRPr="000F491C" w:rsidRDefault="002F42A4" w:rsidP="005027B7">
      <w:pPr>
        <w:pStyle w:val="Nagwek2"/>
        <w:numPr>
          <w:ilvl w:val="1"/>
          <w:numId w:val="38"/>
        </w:numPr>
        <w:rPr>
          <w:rFonts w:cs="Arial"/>
          <w:szCs w:val="20"/>
        </w:rPr>
      </w:pPr>
      <w:bookmarkStart w:id="72" w:name="_Toc525806064"/>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71"/>
      <w:r>
        <w:rPr>
          <w:rFonts w:cs="Arial"/>
          <w:szCs w:val="20"/>
        </w:rPr>
        <w:t xml:space="preserve"> oraz zasady </w:t>
      </w:r>
      <w:r w:rsidR="006B56DD">
        <w:rPr>
          <w:rFonts w:cs="Arial"/>
          <w:szCs w:val="20"/>
        </w:rPr>
        <w:t xml:space="preserve">jego </w:t>
      </w:r>
      <w:r>
        <w:rPr>
          <w:rFonts w:cs="Arial"/>
          <w:szCs w:val="20"/>
        </w:rPr>
        <w:t>wykazywania w projekcie</w:t>
      </w:r>
      <w:bookmarkEnd w:id="72"/>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C623C">
        <w:rPr>
          <w:rFonts w:ascii="Arial" w:hAnsi="Arial" w:cs="Arial"/>
          <w:bCs/>
          <w:sz w:val="20"/>
          <w:szCs w:val="20"/>
        </w:rPr>
        <w:t>, premii za otwarcie rachunku bankowego, gwarancji bankowych</w:t>
      </w:r>
      <w:r w:rsidR="002C623C" w:rsidRPr="005453BB">
        <w:rPr>
          <w:rFonts w:ascii="Arial" w:hAnsi="Arial" w:cs="Arial"/>
          <w:bCs/>
          <w:sz w:val="20"/>
          <w:szCs w:val="20"/>
        </w:rPr>
        <w:t xml:space="preserve"> </w:t>
      </w:r>
      <w:r w:rsidR="002C623C">
        <w:rPr>
          <w:rFonts w:ascii="Arial" w:hAnsi="Arial" w:cs="Arial"/>
          <w:bCs/>
          <w:sz w:val="20"/>
          <w:szCs w:val="20"/>
        </w:rPr>
        <w:t>o</w:t>
      </w:r>
      <w:r w:rsidRPr="005453BB">
        <w:rPr>
          <w:rFonts w:ascii="Arial" w:hAnsi="Arial" w:cs="Arial"/>
          <w:bCs/>
          <w:sz w:val="20"/>
          <w:szCs w:val="20"/>
        </w:rPr>
        <w:t>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w:t>
      </w:r>
      <w:r w:rsidR="00E74312">
        <w:rPr>
          <w:rFonts w:ascii="Arial" w:hAnsi="Arial" w:cs="Arial"/>
          <w:bCs/>
          <w:sz w:val="20"/>
          <w:szCs w:val="20"/>
        </w:rPr>
        <w:t xml:space="preserve">całkowite </w:t>
      </w:r>
      <w:r w:rsidRPr="005453BB">
        <w:rPr>
          <w:rFonts w:ascii="Arial" w:hAnsi="Arial" w:cs="Arial"/>
          <w:bCs/>
          <w:sz w:val="20"/>
          <w:szCs w:val="20"/>
        </w:rPr>
        <w:t xml:space="preserve">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 xml:space="preserve">równowartości </w:t>
      </w:r>
      <w:r w:rsidR="00E74312">
        <w:rPr>
          <w:rFonts w:ascii="Arial" w:hAnsi="Arial" w:cs="Arial"/>
          <w:b/>
          <w:bCs/>
          <w:sz w:val="20"/>
          <w:szCs w:val="20"/>
        </w:rPr>
        <w:t>10</w:t>
      </w:r>
      <w:r w:rsidR="00AE73FA" w:rsidRPr="00AE73FA">
        <w:rPr>
          <w:rFonts w:ascii="Arial" w:hAnsi="Arial" w:cs="Arial"/>
          <w:b/>
          <w:bCs/>
          <w:sz w:val="20"/>
          <w:szCs w:val="20"/>
        </w:rPr>
        <w:t>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w:t>
      </w:r>
      <w:r w:rsidRPr="005453BB">
        <w:rPr>
          <w:rFonts w:ascii="Arial" w:hAnsi="Arial" w:cs="Arial"/>
          <w:bCs/>
          <w:sz w:val="20"/>
          <w:szCs w:val="20"/>
        </w:rPr>
        <w:lastRenderedPageBreak/>
        <w:t xml:space="preserve">stanowiącym średnią arytmetyczną kursów </w:t>
      </w:r>
      <w:r w:rsidR="008257D5">
        <w:rPr>
          <w:rFonts w:ascii="Arial" w:hAnsi="Arial" w:cs="Arial"/>
          <w:bCs/>
          <w:sz w:val="20"/>
          <w:szCs w:val="20"/>
        </w:rPr>
        <w:t xml:space="preserve">średnioważonych walut obcych w złotych publikowanych przez </w:t>
      </w:r>
      <w:r w:rsidR="00815FBB" w:rsidRPr="005453BB">
        <w:rPr>
          <w:rFonts w:ascii="Arial" w:hAnsi="Arial" w:cs="Arial"/>
          <w:bCs/>
          <w:sz w:val="20"/>
          <w:szCs w:val="20"/>
        </w:rPr>
        <w:t xml:space="preserve"> Narodow</w:t>
      </w:r>
      <w:r w:rsidR="008257D5">
        <w:rPr>
          <w:rFonts w:ascii="Arial" w:hAnsi="Arial" w:cs="Arial"/>
          <w:bCs/>
          <w:sz w:val="20"/>
          <w:szCs w:val="20"/>
        </w:rPr>
        <w:t>y</w:t>
      </w:r>
      <w:r w:rsidR="00815FBB" w:rsidRPr="005453BB">
        <w:rPr>
          <w:rFonts w:ascii="Arial" w:hAnsi="Arial" w:cs="Arial"/>
          <w:bCs/>
          <w:sz w:val="20"/>
          <w:szCs w:val="20"/>
        </w:rPr>
        <w:t xml:space="preserve"> Bank Polski,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1"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73" w:name="_Toc454863191"/>
      <w:bookmarkStart w:id="74" w:name="_Toc525806065"/>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73"/>
      <w:bookmarkEnd w:id="74"/>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147BBA" w:rsidRPr="005453BB" w:rsidRDefault="00147BBA" w:rsidP="007F059F">
      <w:pPr>
        <w:pStyle w:val="Akapitzlist"/>
        <w:ind w:left="0"/>
        <w:jc w:val="both"/>
        <w:rPr>
          <w:rFonts w:ascii="Arial" w:hAnsi="Arial" w:cs="Arial"/>
          <w:color w:val="00B050"/>
          <w:sz w:val="20"/>
          <w:szCs w:val="20"/>
        </w:rPr>
      </w:pPr>
    </w:p>
    <w:p w:rsidR="00777814"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w:t>
      </w:r>
      <w:r w:rsidR="0034692B">
        <w:rPr>
          <w:rFonts w:ascii="Arial" w:hAnsi="Arial" w:cs="Arial"/>
          <w:color w:val="000000" w:themeColor="text1"/>
          <w:sz w:val="20"/>
          <w:szCs w:val="20"/>
        </w:rPr>
        <w:t xml:space="preserve">nastąpi równoważne zmniejszenie </w:t>
      </w:r>
      <w:r w:rsidR="00C04B59" w:rsidRPr="005453BB">
        <w:rPr>
          <w:rFonts w:ascii="Arial" w:hAnsi="Arial" w:cs="Arial"/>
          <w:color w:val="000000" w:themeColor="text1"/>
          <w:sz w:val="20"/>
          <w:szCs w:val="20"/>
        </w:rPr>
        <w:t>dotacji na działalność</w:t>
      </w:r>
      <w:r w:rsidR="0034692B">
        <w:rPr>
          <w:rFonts w:ascii="Arial" w:hAnsi="Arial" w:cs="Arial"/>
          <w:color w:val="000000" w:themeColor="text1"/>
          <w:sz w:val="20"/>
          <w:szCs w:val="20"/>
        </w:rPr>
        <w:t xml:space="preserve"> operacyjną</w:t>
      </w:r>
      <w:r w:rsidR="0046777D">
        <w:rPr>
          <w:rFonts w:ascii="Arial" w:hAnsi="Arial" w:cs="Arial"/>
          <w:color w:val="000000" w:themeColor="text1"/>
          <w:sz w:val="20"/>
          <w:szCs w:val="20"/>
        </w:rPr>
        <w:t xml:space="preserve"> (patrz: definicja oszczędności kosztów operacyjnych)</w:t>
      </w:r>
      <w:r w:rsidR="00C04B59" w:rsidRPr="005453BB">
        <w:rPr>
          <w:rFonts w:ascii="Arial" w:hAnsi="Arial" w:cs="Arial"/>
          <w:color w:val="000000" w:themeColor="text1"/>
          <w:sz w:val="20"/>
          <w:szCs w:val="20"/>
        </w:rPr>
        <w:t xml:space="preserve">. </w:t>
      </w:r>
    </w:p>
    <w:p w:rsidR="00D80A19" w:rsidRDefault="00D80A19">
      <w:pPr>
        <w:pStyle w:val="Nagwek1"/>
        <w:rPr>
          <w:rFonts w:cs="Arial"/>
        </w:rPr>
      </w:pPr>
      <w:bookmarkStart w:id="75" w:name="_Toc444153278"/>
      <w:bookmarkStart w:id="76" w:name="_Toc454863192"/>
    </w:p>
    <w:p w:rsidR="00160FA4" w:rsidRPr="005453BB" w:rsidRDefault="00160FA4">
      <w:pPr>
        <w:pStyle w:val="Nagwek1"/>
        <w:rPr>
          <w:rFonts w:cs="Arial"/>
        </w:rPr>
      </w:pPr>
      <w:bookmarkStart w:id="77" w:name="_Toc525806066"/>
      <w:r w:rsidRPr="005453BB">
        <w:rPr>
          <w:rFonts w:cs="Arial"/>
        </w:rPr>
        <w:t>Roz</w:t>
      </w:r>
      <w:r w:rsidR="00F043AF" w:rsidRPr="005453BB">
        <w:rPr>
          <w:rFonts w:cs="Arial"/>
        </w:rPr>
        <w:t>d</w:t>
      </w:r>
      <w:r w:rsidRPr="005453BB">
        <w:rPr>
          <w:rFonts w:cs="Arial"/>
        </w:rPr>
        <w:t xml:space="preserve">ział </w:t>
      </w:r>
      <w:r w:rsidR="00930CC8" w:rsidRPr="005453BB">
        <w:rPr>
          <w:rFonts w:cs="Arial"/>
        </w:rPr>
        <w:t>3</w:t>
      </w:r>
      <w:r w:rsidRPr="005453BB">
        <w:rPr>
          <w:rFonts w:cs="Arial"/>
        </w:rPr>
        <w:t xml:space="preserve"> </w:t>
      </w:r>
      <w:bookmarkEnd w:id="75"/>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77"/>
      <w:r w:rsidR="00C36DEF" w:rsidRPr="005453BB">
        <w:rPr>
          <w:rFonts w:cs="Arial"/>
        </w:rPr>
        <w:t xml:space="preserve"> </w:t>
      </w:r>
      <w:bookmarkEnd w:id="76"/>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F7588D" w:rsidRDefault="002B46A8">
      <w:pPr>
        <w:pStyle w:val="Akapitzlist"/>
        <w:numPr>
          <w:ilvl w:val="0"/>
          <w:numId w:val="13"/>
        </w:numPr>
        <w:ind w:left="924" w:hanging="357"/>
        <w:jc w:val="both"/>
        <w:rPr>
          <w:rFonts w:ascii="Arial" w:hAnsi="Arial" w:cs="Arial"/>
          <w:sz w:val="20"/>
          <w:szCs w:val="20"/>
        </w:rPr>
      </w:pPr>
      <w:r w:rsidRPr="002B46A8">
        <w:rPr>
          <w:rFonts w:ascii="Arial" w:hAnsi="Arial" w:cs="Arial"/>
          <w:sz w:val="20"/>
          <w:szCs w:val="20"/>
        </w:rPr>
        <w:t>operacji lub części operacji finansowanych wyłącznie z Europejskiego Funduszu Społecznego</w:t>
      </w:r>
      <w:r w:rsidR="003B30F2">
        <w:rPr>
          <w:rFonts w:ascii="Arial" w:hAnsi="Arial" w:cs="Arial"/>
          <w:sz w:val="20"/>
          <w:szCs w:val="20"/>
        </w:rPr>
        <w:t>,</w:t>
      </w:r>
    </w:p>
    <w:p w:rsidR="00777814" w:rsidRPr="00C97B33"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r w:rsidR="001E25A5">
        <w:rPr>
          <w:rFonts w:ascii="Arial" w:hAnsi="Arial" w:cs="Arial"/>
          <w:color w:val="000000"/>
          <w:sz w:val="20"/>
          <w:szCs w:val="20"/>
          <w:lang w:eastAsia="pl-PL"/>
        </w:rPr>
        <w:t xml:space="preserve"> </w:t>
      </w:r>
      <w:r w:rsidR="00C97B33">
        <w:rPr>
          <w:rFonts w:ascii="Arial" w:hAnsi="Arial" w:cs="Arial"/>
          <w:color w:val="000000"/>
          <w:sz w:val="20"/>
          <w:szCs w:val="20"/>
          <w:lang w:eastAsia="pl-PL"/>
        </w:rPr>
        <w:t xml:space="preserve">przy czym w </w:t>
      </w:r>
      <w:r w:rsidR="002B46A8" w:rsidRPr="002B46A8">
        <w:rPr>
          <w:rFonts w:ascii="Arial" w:hAnsi="Arial" w:cs="Arial"/>
          <w:sz w:val="20"/>
          <w:szCs w:val="20"/>
        </w:rPr>
        <w:t>ramach badania, czy dany projekt spełnia kryterium kwotowe, należy uwzględnić wszystkie zadania inwestycyjne składające się na projekt, nawet jeśli podlegają one wyłączeniu spod reżimu art. 61 rozporządzenia nr 1303/2013</w:t>
      </w:r>
      <w:r w:rsidR="00C97B33">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r w:rsidR="00AE7859">
        <w:rPr>
          <w:rFonts w:ascii="Arial" w:hAnsi="Arial" w:cs="Arial"/>
          <w:sz w:val="20"/>
          <w:szCs w:val="20"/>
        </w:rPr>
        <w:t xml:space="preserve"> pomoc państwa</w:t>
      </w:r>
      <w:r w:rsidR="001E25A5">
        <w:rPr>
          <w:rFonts w:ascii="Arial" w:hAnsi="Arial" w:cs="Arial"/>
          <w:sz w:val="20"/>
          <w:szCs w:val="20"/>
        </w:rPr>
        <w:t xml:space="preserve"> </w:t>
      </w:r>
      <w:r w:rsidR="001E25A5">
        <w:rPr>
          <w:rFonts w:ascii="Arial" w:hAnsi="Arial" w:cs="Arial"/>
          <w:color w:val="FF0000"/>
          <w:sz w:val="20"/>
          <w:szCs w:val="20"/>
        </w:rPr>
        <w:t>(publiczną</w:t>
      </w:r>
      <w:r w:rsidR="00BB4B37">
        <w:rPr>
          <w:rFonts w:ascii="Arial" w:hAnsi="Arial" w:cs="Arial"/>
          <w:color w:val="FF0000"/>
          <w:sz w:val="20"/>
          <w:szCs w:val="20"/>
        </w:rPr>
        <w:t>)</w:t>
      </w:r>
      <w:r w:rsidR="00AE7859">
        <w:rPr>
          <w:rFonts w:ascii="Arial" w:hAnsi="Arial" w:cs="Arial"/>
          <w:sz w:val="20"/>
          <w:szCs w:val="20"/>
        </w:rPr>
        <w:t>.</w:t>
      </w:r>
    </w:p>
    <w:p w:rsidR="009B4905" w:rsidRDefault="00090C48">
      <w:r w:rsidRPr="005453BB">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9B4905" w:rsidRDefault="00CB7600">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w:t>
      </w:r>
      <w:r w:rsidR="008257D5">
        <w:rPr>
          <w:rFonts w:ascii="Arial" w:hAnsi="Arial" w:cs="Arial"/>
          <w:color w:val="000000" w:themeColor="text1"/>
          <w:sz w:val="20"/>
          <w:szCs w:val="20"/>
        </w:rPr>
        <w:t>oważonych walut obcych w złotych publikowanych przez</w:t>
      </w:r>
      <w:r w:rsidRPr="005453BB">
        <w:rPr>
          <w:rFonts w:ascii="Arial" w:hAnsi="Arial" w:cs="Arial"/>
          <w:color w:val="000000" w:themeColor="text1"/>
          <w:sz w:val="20"/>
          <w:szCs w:val="20"/>
        </w:rPr>
        <w:t xml:space="preserve"> Narodow</w:t>
      </w:r>
      <w:r w:rsidR="008257D5">
        <w:rPr>
          <w:rFonts w:ascii="Arial" w:hAnsi="Arial" w:cs="Arial"/>
          <w:color w:val="000000" w:themeColor="text1"/>
          <w:sz w:val="20"/>
          <w:szCs w:val="20"/>
        </w:rPr>
        <w:t>y</w:t>
      </w:r>
      <w:r w:rsidRPr="005453BB">
        <w:rPr>
          <w:rFonts w:ascii="Arial" w:hAnsi="Arial" w:cs="Arial"/>
          <w:color w:val="000000" w:themeColor="text1"/>
          <w:sz w:val="20"/>
          <w:szCs w:val="20"/>
        </w:rPr>
        <w:t xml:space="preserve"> Bank Polski,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2"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78" w:name="_Toc457561093"/>
      <w:bookmarkStart w:id="79" w:name="_Toc482697961"/>
      <w:bookmarkStart w:id="80" w:name="_Toc525560202"/>
      <w:bookmarkStart w:id="81" w:name="_Toc525560667"/>
      <w:bookmarkStart w:id="82" w:name="_Toc525805978"/>
      <w:bookmarkStart w:id="83" w:name="_Toc525806011"/>
      <w:bookmarkStart w:id="84" w:name="_Toc525806040"/>
      <w:bookmarkStart w:id="85" w:name="_Toc525806067"/>
      <w:bookmarkEnd w:id="78"/>
      <w:bookmarkEnd w:id="79"/>
      <w:bookmarkEnd w:id="80"/>
      <w:bookmarkEnd w:id="81"/>
      <w:bookmarkEnd w:id="82"/>
      <w:bookmarkEnd w:id="83"/>
      <w:bookmarkEnd w:id="84"/>
      <w:bookmarkEnd w:id="85"/>
    </w:p>
    <w:p w:rsidR="009B4905" w:rsidRDefault="009B4905">
      <w:pPr>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86" w:name="_Toc525806068"/>
      <w:r w:rsidRPr="00A14BB8">
        <w:t>Kategorie projektów generujących dochód</w:t>
      </w:r>
      <w:r w:rsidR="002F65EF">
        <w:t xml:space="preserve"> </w:t>
      </w:r>
      <w:r w:rsidRPr="00A14BB8">
        <w:t>oraz metody określania wysokości dofinansowania</w:t>
      </w:r>
      <w:bookmarkEnd w:id="86"/>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t>
      </w:r>
      <w:r w:rsidRPr="005453BB">
        <w:rPr>
          <w:rFonts w:ascii="Arial" w:hAnsi="Arial" w:cs="Arial"/>
          <w:sz w:val="20"/>
          <w:szCs w:val="20"/>
        </w:rPr>
        <w:lastRenderedPageBreak/>
        <w:t xml:space="preserve">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w:t>
      </w:r>
      <w:r w:rsidR="008257D5">
        <w:rPr>
          <w:rFonts w:ascii="Arial" w:hAnsi="Arial" w:cs="Arial"/>
          <w:sz w:val="20"/>
          <w:szCs w:val="20"/>
        </w:rPr>
        <w:t xml:space="preserve">(zamknięcia fazy inwestycyjnej) </w:t>
      </w:r>
      <w:r w:rsidRPr="005817CA">
        <w:rPr>
          <w:rFonts w:ascii="Arial" w:hAnsi="Arial" w:cs="Arial"/>
          <w:sz w:val="20"/>
          <w:szCs w:val="20"/>
        </w:rPr>
        <w:t>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87" w:name="_Toc454863193"/>
      <w:bookmarkStart w:id="88" w:name="_Toc525806069"/>
      <w:r w:rsidRPr="005453BB">
        <w:rPr>
          <w:rFonts w:cs="Arial"/>
          <w:szCs w:val="20"/>
        </w:rPr>
        <w:t>Metoda</w:t>
      </w:r>
      <w:r w:rsidR="00C36DEF" w:rsidRPr="005453BB">
        <w:rPr>
          <w:rFonts w:cs="Arial"/>
          <w:szCs w:val="20"/>
        </w:rPr>
        <w:t xml:space="preserve"> luki w finansowaniu</w:t>
      </w:r>
      <w:bookmarkEnd w:id="87"/>
      <w:bookmarkEnd w:id="88"/>
    </w:p>
    <w:p w:rsidR="00AE73FA" w:rsidRDefault="000B5DFB" w:rsidP="00AE73FA">
      <w:pPr>
        <w:pStyle w:val="Akapitzlist"/>
        <w:numPr>
          <w:ilvl w:val="0"/>
          <w:numId w:val="21"/>
        </w:numPr>
        <w:autoSpaceDE w:val="0"/>
        <w:autoSpaceDN w:val="0"/>
        <w:adjustRightInd w:val="0"/>
        <w:ind w:left="499" w:hanging="499"/>
        <w:jc w:val="both"/>
        <w:rPr>
          <w:rFonts w:ascii="Arial" w:hAnsi="Arial" w:cs="Arial"/>
          <w:sz w:val="20"/>
          <w:szCs w:val="20"/>
        </w:rPr>
      </w:pPr>
      <w:r w:rsidRPr="005453BB">
        <w:rPr>
          <w:rFonts w:ascii="Arial" w:hAnsi="Arial" w:cs="Arial"/>
          <w:sz w:val="20"/>
          <w:szCs w:val="20"/>
        </w:rPr>
        <w:t xml:space="preserve">Metoda luki w finansowaniu </w:t>
      </w:r>
      <w:r w:rsidR="009B747D">
        <w:rPr>
          <w:rFonts w:ascii="Arial" w:hAnsi="Arial" w:cs="Arial"/>
          <w:sz w:val="20"/>
          <w:szCs w:val="20"/>
        </w:rPr>
        <w:t>opiera się na</w:t>
      </w:r>
      <w:r w:rsidRPr="005453BB">
        <w:rPr>
          <w:rFonts w:ascii="Arial" w:hAnsi="Arial" w:cs="Arial"/>
          <w:sz w:val="20"/>
          <w:szCs w:val="20"/>
        </w:rPr>
        <w:t xml:space="preserve"> analiz</w:t>
      </w:r>
      <w:r w:rsidR="009B747D">
        <w:rPr>
          <w:rFonts w:ascii="Arial" w:hAnsi="Arial" w:cs="Arial"/>
          <w:sz w:val="20"/>
          <w:szCs w:val="20"/>
        </w:rPr>
        <w:t>ie</w:t>
      </w:r>
      <w:r w:rsidRPr="005453BB">
        <w:rPr>
          <w:rFonts w:ascii="Arial" w:hAnsi="Arial" w:cs="Arial"/>
          <w:sz w:val="20"/>
          <w:szCs w:val="20"/>
        </w:rPr>
        <w:t xml:space="preserve"> finansow</w:t>
      </w:r>
      <w:r w:rsidR="009B747D">
        <w:rPr>
          <w:rFonts w:ascii="Arial" w:hAnsi="Arial" w:cs="Arial"/>
          <w:sz w:val="20"/>
          <w:szCs w:val="20"/>
        </w:rPr>
        <w:t>ej</w:t>
      </w:r>
      <w:r w:rsidRPr="005453BB">
        <w:rPr>
          <w:rFonts w:ascii="Arial" w:hAnsi="Arial" w:cs="Arial"/>
          <w:sz w:val="20"/>
          <w:szCs w:val="20"/>
        </w:rPr>
        <w:t xml:space="preserve"> stanowiąc</w:t>
      </w:r>
      <w:r w:rsidR="009B747D">
        <w:rPr>
          <w:rFonts w:ascii="Arial" w:hAnsi="Arial" w:cs="Arial"/>
          <w:sz w:val="20"/>
          <w:szCs w:val="20"/>
        </w:rPr>
        <w:t>ej</w:t>
      </w:r>
      <w:r w:rsidRPr="005453BB">
        <w:rPr>
          <w:rFonts w:ascii="Arial" w:hAnsi="Arial" w:cs="Arial"/>
          <w:sz w:val="20"/>
          <w:szCs w:val="20"/>
        </w:rPr>
        <w:t xml:space="preserve"> podstawę do wyliczenia wartości wskaźnika luki w finasowaniu, umożliwiającego oszacowanie wysokości dofinansowania z  RPO WZ </w:t>
      </w:r>
      <w:r w:rsidR="009B747D">
        <w:rPr>
          <w:rFonts w:ascii="Arial" w:hAnsi="Arial" w:cs="Arial"/>
          <w:sz w:val="20"/>
          <w:szCs w:val="20"/>
        </w:rPr>
        <w:t xml:space="preserve">dla projektów generujących dochód </w:t>
      </w:r>
      <w:r w:rsidR="005A4653">
        <w:rPr>
          <w:rFonts w:ascii="Arial" w:hAnsi="Arial" w:cs="Arial"/>
          <w:sz w:val="20"/>
          <w:szCs w:val="20"/>
        </w:rPr>
        <w:t>.</w:t>
      </w:r>
    </w:p>
    <w:p w:rsidR="00AE73FA" w:rsidRDefault="00835BF9" w:rsidP="00AE73FA">
      <w:pPr>
        <w:pStyle w:val="Akapitzlist"/>
        <w:numPr>
          <w:ilvl w:val="0"/>
          <w:numId w:val="21"/>
        </w:numPr>
        <w:autoSpaceDE w:val="0"/>
        <w:autoSpaceDN w:val="0"/>
        <w:adjustRightInd w:val="0"/>
        <w:ind w:left="499" w:hanging="499"/>
        <w:jc w:val="both"/>
        <w:rPr>
          <w:rFonts w:ascii="Arial" w:hAnsi="Arial" w:cs="Arial"/>
          <w:sz w:val="20"/>
          <w:szCs w:val="20"/>
        </w:rPr>
      </w:pPr>
      <w:r w:rsidRPr="005A4653">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kosztu kwalifikowalnego projektu w oparciu o kosztorys – EC,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wskaźnika luki w finansowaniu – R, </w:t>
      </w:r>
    </w:p>
    <w:p w:rsidR="00777814" w:rsidRPr="005A4653" w:rsidRDefault="00366C12" w:rsidP="005027B7">
      <w:pPr>
        <w:pStyle w:val="Akapitzlist"/>
        <w:numPr>
          <w:ilvl w:val="1"/>
          <w:numId w:val="22"/>
        </w:numPr>
        <w:autoSpaceDE w:val="0"/>
        <w:autoSpaceDN w:val="0"/>
        <w:adjustRightInd w:val="0"/>
        <w:ind w:left="924" w:hanging="357"/>
        <w:jc w:val="both"/>
        <w:rPr>
          <w:rFonts w:ascii="Arial" w:hAnsi="Arial" w:cs="Arial"/>
          <w:sz w:val="20"/>
          <w:szCs w:val="20"/>
        </w:rPr>
      </w:pPr>
      <w:r>
        <w:rPr>
          <w:rFonts w:ascii="Arial" w:hAnsi="Arial" w:cs="Arial"/>
          <w:sz w:val="20"/>
          <w:szCs w:val="20"/>
        </w:rPr>
        <w:t>wyliczenie kosztów kwalifikowalnych skorygowanyc</w:t>
      </w:r>
      <w:r w:rsidR="00835BF9" w:rsidRPr="005453BB">
        <w:rPr>
          <w:rFonts w:ascii="Arial" w:hAnsi="Arial" w:cs="Arial"/>
          <w:sz w:val="20"/>
          <w:szCs w:val="20"/>
        </w:rPr>
        <w:t>h</w:t>
      </w:r>
      <w:r w:rsidR="00835BF9" w:rsidRPr="005A4653">
        <w:rPr>
          <w:rFonts w:ascii="Arial" w:hAnsi="Arial" w:cs="Arial"/>
          <w:sz w:val="20"/>
          <w:szCs w:val="20"/>
        </w:rPr>
        <w:t xml:space="preserve"> o wskaźnik luki w finansowaniu - EC</w:t>
      </w:r>
      <w:r w:rsidR="00AE73FA" w:rsidRPr="00AE73FA">
        <w:rPr>
          <w:rFonts w:ascii="Arial" w:hAnsi="Arial" w:cs="Arial"/>
          <w:sz w:val="20"/>
          <w:szCs w:val="20"/>
          <w:vertAlign w:val="subscript"/>
        </w:rPr>
        <w:t>R</w:t>
      </w:r>
      <w:r w:rsidR="00835BF9" w:rsidRPr="005A4653">
        <w:rPr>
          <w:rFonts w:ascii="Arial" w:hAnsi="Arial" w:cs="Arial"/>
          <w:sz w:val="20"/>
          <w:szCs w:val="20"/>
        </w:rPr>
        <w:t xml:space="preserve">, </w:t>
      </w:r>
    </w:p>
    <w:p w:rsidR="00CE671E" w:rsidRPr="005A4653"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(maksymalnej możliwej) dotacji UE – Dotacja UE. </w:t>
      </w:r>
    </w:p>
    <w:p w:rsidR="00AE73FA" w:rsidRPr="00AE73FA" w:rsidRDefault="00AE73FA" w:rsidP="00AE73FA">
      <w:pPr>
        <w:pStyle w:val="Akapitzlist"/>
        <w:numPr>
          <w:ilvl w:val="0"/>
          <w:numId w:val="21"/>
        </w:numPr>
        <w:ind w:left="284" w:hanging="284"/>
        <w:jc w:val="both"/>
        <w:rPr>
          <w:rFonts w:ascii="Arial" w:hAnsi="Arial" w:cs="Arial"/>
          <w:sz w:val="20"/>
          <w:szCs w:val="20"/>
        </w:rPr>
      </w:pPr>
      <w:r w:rsidRPr="00AE73FA">
        <w:rPr>
          <w:rFonts w:ascii="Arial" w:hAnsi="Arial" w:cs="Arial"/>
          <w:sz w:val="20"/>
          <w:szCs w:val="20"/>
        </w:rPr>
        <w:t>Podstawę oraz szczegółowy sposób stosowania mechanizmu luki w finansowaniu określa</w:t>
      </w:r>
      <w:r w:rsidR="00131C97">
        <w:rPr>
          <w:rFonts w:ascii="Arial" w:hAnsi="Arial" w:cs="Arial"/>
          <w:sz w:val="20"/>
          <w:szCs w:val="20"/>
        </w:rPr>
        <w:t>ją</w:t>
      </w:r>
      <w:r w:rsidRPr="00AE73FA">
        <w:rPr>
          <w:rFonts w:ascii="Arial" w:hAnsi="Arial" w:cs="Arial"/>
          <w:sz w:val="20"/>
          <w:szCs w:val="20"/>
        </w:rPr>
        <w:t xml:space="preserve">  </w:t>
      </w:r>
      <w:r w:rsidRPr="00883166">
        <w:rPr>
          <w:rFonts w:ascii="Arial" w:hAnsi="Arial" w:cs="Arial"/>
          <w:i/>
          <w:sz w:val="20"/>
          <w:szCs w:val="20"/>
        </w:rPr>
        <w:t>Wytyczne w zakresie zagadnień</w:t>
      </w:r>
      <w:r w:rsidRPr="00AE73FA">
        <w:rPr>
          <w:rFonts w:ascii="Arial" w:hAnsi="Arial" w:cs="Arial"/>
          <w:i/>
          <w:sz w:val="20"/>
          <w:szCs w:val="20"/>
        </w:rPr>
        <w:t xml:space="preserve"> związanych z przygotowaniem projektów inwestycyjnych</w:t>
      </w:r>
      <w:r w:rsidR="00883166">
        <w:rPr>
          <w:rFonts w:ascii="Arial" w:hAnsi="Arial" w:cs="Arial"/>
          <w:i/>
          <w:sz w:val="20"/>
          <w:szCs w:val="20"/>
        </w:rPr>
        <w:t>.</w:t>
      </w:r>
      <w:r w:rsidRPr="00AE73FA">
        <w:rPr>
          <w:rFonts w:ascii="Arial" w:hAnsi="Arial" w:cs="Arial"/>
          <w:sz w:val="20"/>
          <w:szCs w:val="20"/>
        </w:rPr>
        <w:t xml:space="preserve"> Prowadząc analizę należy również brać pod uwagę zapisy regulaminu konkursu/naboru.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89" w:name="_Toc454863194"/>
      <w:bookmarkStart w:id="90" w:name="_Toc525806070"/>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89"/>
      <w:bookmarkEnd w:id="90"/>
    </w:p>
    <w:p w:rsidR="00ED059B" w:rsidRDefault="003950E0" w:rsidP="00AE73F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lub podsektora generują określony poziom dochodów, a co za tym idzie, występuje w nich z góry określony poziom luki w finansowaniu</w:t>
      </w:r>
      <w:r w:rsidR="00854E52">
        <w:rPr>
          <w:rFonts w:ascii="Arial" w:hAnsi="Arial" w:cs="Arial"/>
          <w:color w:val="000000"/>
          <w:sz w:val="20"/>
          <w:szCs w:val="20"/>
          <w:lang w:eastAsia="pl-PL"/>
        </w:rPr>
        <w:t>.</w:t>
      </w:r>
    </w:p>
    <w:p w:rsidR="00AE73FA" w:rsidRPr="00ED059B" w:rsidRDefault="00F2142E" w:rsidP="00ED059B">
      <w:pPr>
        <w:pStyle w:val="Akapitzlist"/>
        <w:autoSpaceDE w:val="0"/>
        <w:autoSpaceDN w:val="0"/>
        <w:adjustRightInd w:val="0"/>
        <w:ind w:left="284"/>
        <w:jc w:val="both"/>
        <w:rPr>
          <w:rFonts w:ascii="Arial" w:hAnsi="Arial" w:cs="Arial"/>
          <w:color w:val="000000"/>
          <w:sz w:val="20"/>
          <w:szCs w:val="20"/>
          <w:lang w:eastAsia="pl-PL"/>
        </w:rPr>
      </w:pPr>
      <w:r w:rsidRPr="00ED059B">
        <w:rPr>
          <w:rFonts w:ascii="Arial" w:hAnsi="Arial" w:cs="Arial"/>
          <w:i/>
          <w:color w:val="000000"/>
          <w:sz w:val="20"/>
          <w:szCs w:val="20"/>
          <w:lang w:eastAsia="pl-PL"/>
        </w:rPr>
        <w:t>Określenie stawek zryczałtowanych dla projektów generujących dochód</w:t>
      </w:r>
      <w:r w:rsidRPr="00ED059B">
        <w:rPr>
          <w:rFonts w:ascii="Arial" w:hAnsi="Arial" w:cs="Arial"/>
          <w:color w:val="000000"/>
          <w:sz w:val="20"/>
          <w:szCs w:val="20"/>
          <w:lang w:eastAsia="pl-PL"/>
        </w:rPr>
        <w:t xml:space="preserve"> </w:t>
      </w:r>
      <w:r w:rsidR="007C7DCE">
        <w:rPr>
          <w:rFonts w:ascii="Arial" w:hAnsi="Arial" w:cs="Arial"/>
          <w:color w:val="000000"/>
          <w:sz w:val="20"/>
          <w:szCs w:val="20"/>
          <w:lang w:eastAsia="pl-PL"/>
        </w:rPr>
        <w:t>z</w:t>
      </w:r>
      <w:r w:rsidR="007C7DCE" w:rsidRPr="00ED059B">
        <w:rPr>
          <w:rFonts w:ascii="Arial" w:hAnsi="Arial" w:cs="Arial"/>
          <w:color w:val="000000"/>
          <w:sz w:val="20"/>
          <w:szCs w:val="20"/>
          <w:lang w:eastAsia="pl-PL"/>
        </w:rPr>
        <w:t xml:space="preserve">godnie z rozporządzeniem ogólnym </w:t>
      </w:r>
      <w:r w:rsidR="007C7DCE">
        <w:rPr>
          <w:rFonts w:ascii="Arial" w:hAnsi="Arial" w:cs="Arial"/>
          <w:color w:val="000000"/>
          <w:sz w:val="20"/>
          <w:szCs w:val="20"/>
          <w:lang w:eastAsia="pl-PL"/>
        </w:rPr>
        <w:t xml:space="preserve">oraz rozporządzeniem delegowanym Komisji (UE) 2015/1516 </w:t>
      </w:r>
      <w:r w:rsidRPr="00ED059B">
        <w:rPr>
          <w:rFonts w:ascii="Arial" w:hAnsi="Arial" w:cs="Arial"/>
          <w:color w:val="000000"/>
          <w:sz w:val="20"/>
          <w:szCs w:val="20"/>
          <w:lang w:eastAsia="pl-PL"/>
        </w:rPr>
        <w:t>przedstawia się następująco:</w:t>
      </w:r>
    </w:p>
    <w:p w:rsidR="00F2142E" w:rsidRPr="00ED059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firstRow="1" w:lastRow="0" w:firstColumn="1" w:lastColumn="0" w:noHBand="0" w:noVBand="1"/>
      </w:tblPr>
      <w:tblGrid>
        <w:gridCol w:w="516"/>
        <w:gridCol w:w="2552"/>
        <w:gridCol w:w="2410"/>
      </w:tblGrid>
      <w:tr w:rsidR="00F2142E" w:rsidRPr="00ED059B" w:rsidTr="00A534AB">
        <w:trPr>
          <w:jc w:val="center"/>
        </w:trPr>
        <w:tc>
          <w:tcPr>
            <w:tcW w:w="456" w:type="dxa"/>
          </w:tcPr>
          <w:p w:rsidR="00A24664" w:rsidRPr="00ED059B" w:rsidRDefault="00C8253D">
            <w:pPr>
              <w:autoSpaceDE w:val="0"/>
              <w:autoSpaceDN w:val="0"/>
              <w:adjustRightInd w:val="0"/>
              <w:jc w:val="center"/>
              <w:rPr>
                <w:rFonts w:ascii="Arial" w:hAnsi="Arial" w:cs="Arial"/>
                <w:color w:val="000000"/>
                <w:sz w:val="20"/>
                <w:szCs w:val="20"/>
                <w:lang w:eastAsia="pl-PL"/>
              </w:rPr>
            </w:pPr>
            <w:r w:rsidRPr="00C8253D">
              <w:rPr>
                <w:rFonts w:ascii="Arial" w:hAnsi="Arial" w:cs="Arial"/>
                <w:b/>
                <w:color w:val="000000"/>
                <w:sz w:val="20"/>
                <w:szCs w:val="20"/>
                <w:lang w:eastAsia="pl-PL"/>
              </w:rPr>
              <w:t>Lp.</w:t>
            </w:r>
          </w:p>
        </w:tc>
        <w:tc>
          <w:tcPr>
            <w:tcW w:w="2552"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Sektor</w:t>
            </w:r>
          </w:p>
        </w:tc>
        <w:tc>
          <w:tcPr>
            <w:tcW w:w="2410"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Stawki zryczałtowane</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1.</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Drogi</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30 %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2.</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Koleje</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3.</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Transport miejski</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4.</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Gospodarka wodna</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25 %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5.</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Odpady stałe</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20 %</w:t>
            </w:r>
          </w:p>
        </w:tc>
      </w:tr>
      <w:tr w:rsidR="008B5670" w:rsidRPr="00ED059B" w:rsidTr="00A534AB">
        <w:trPr>
          <w:jc w:val="center"/>
        </w:trPr>
        <w:tc>
          <w:tcPr>
            <w:tcW w:w="456" w:type="dxa"/>
          </w:tcPr>
          <w:p w:rsidR="008B5670" w:rsidRPr="00C8253D" w:rsidRDefault="008B5670" w:rsidP="007F059F">
            <w:pPr>
              <w:autoSpaceDE w:val="0"/>
              <w:autoSpaceDN w:val="0"/>
              <w:adjustRightInd w:val="0"/>
              <w:jc w:val="both"/>
              <w:rPr>
                <w:rFonts w:ascii="Arial" w:hAnsi="Arial" w:cs="Arial"/>
                <w:color w:val="000000"/>
                <w:sz w:val="20"/>
                <w:szCs w:val="20"/>
                <w:lang w:eastAsia="pl-PL"/>
              </w:rPr>
            </w:pPr>
            <w:r>
              <w:rPr>
                <w:rFonts w:ascii="Arial" w:hAnsi="Arial" w:cs="Arial"/>
                <w:color w:val="000000"/>
                <w:sz w:val="20"/>
                <w:szCs w:val="20"/>
                <w:lang w:eastAsia="pl-PL"/>
              </w:rPr>
              <w:t>6.</w:t>
            </w:r>
          </w:p>
        </w:tc>
        <w:tc>
          <w:tcPr>
            <w:tcW w:w="2552"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Badania, rozwój i innowacje</w:t>
            </w:r>
          </w:p>
        </w:tc>
        <w:tc>
          <w:tcPr>
            <w:tcW w:w="2410"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20 %</w:t>
            </w:r>
          </w:p>
        </w:tc>
      </w:tr>
    </w:tbl>
    <w:p w:rsidR="00A534AB" w:rsidRDefault="00A534AB" w:rsidP="00A534AB">
      <w:pPr>
        <w:autoSpaceDE w:val="0"/>
        <w:autoSpaceDN w:val="0"/>
        <w:adjustRightInd w:val="0"/>
        <w:ind w:left="284"/>
        <w:jc w:val="both"/>
        <w:rPr>
          <w:rFonts w:ascii="Arial" w:hAnsi="Arial" w:cs="Arial"/>
          <w:color w:val="000000"/>
          <w:sz w:val="20"/>
          <w:szCs w:val="20"/>
          <w:lang w:eastAsia="pl-PL"/>
        </w:rPr>
      </w:pPr>
    </w:p>
    <w:p w:rsidR="008B5670" w:rsidRPr="00ED059B" w:rsidRDefault="008B5670" w:rsidP="00AE73FA">
      <w:pPr>
        <w:autoSpaceDE w:val="0"/>
        <w:autoSpaceDN w:val="0"/>
        <w:adjustRightInd w:val="0"/>
        <w:ind w:left="284"/>
        <w:jc w:val="both"/>
        <w:rPr>
          <w:rFonts w:ascii="Arial" w:hAnsi="Arial" w:cs="Arial"/>
          <w:color w:val="000000"/>
          <w:sz w:val="20"/>
          <w:szCs w:val="20"/>
          <w:lang w:eastAsia="pl-PL"/>
        </w:rPr>
      </w:pPr>
    </w:p>
    <w:p w:rsidR="00F966BA" w:rsidRPr="005453BB" w:rsidRDefault="00F966BA" w:rsidP="00F966B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wartości dofinansowania </w:t>
      </w:r>
      <w:r>
        <w:rPr>
          <w:rFonts w:ascii="Arial" w:hAnsi="Arial" w:cs="Arial"/>
          <w:color w:val="000000"/>
          <w:sz w:val="20"/>
          <w:szCs w:val="20"/>
          <w:lang w:eastAsia="pl-PL"/>
        </w:rPr>
        <w:t xml:space="preserve">dla </w:t>
      </w:r>
      <w:r w:rsidRPr="005453BB">
        <w:rPr>
          <w:rFonts w:ascii="Arial" w:hAnsi="Arial" w:cs="Arial"/>
          <w:color w:val="000000"/>
          <w:sz w:val="20"/>
          <w:szCs w:val="20"/>
          <w:lang w:eastAsia="pl-PL"/>
        </w:rPr>
        <w:t>projektu w</w:t>
      </w:r>
      <w:r>
        <w:rPr>
          <w:rFonts w:ascii="Arial" w:hAnsi="Arial" w:cs="Arial"/>
          <w:color w:val="000000"/>
          <w:sz w:val="20"/>
          <w:szCs w:val="20"/>
          <w:lang w:eastAsia="pl-PL"/>
        </w:rPr>
        <w:t xml:space="preserve"> oparciu o wskaźnik luki w fina</w:t>
      </w:r>
      <w:r w:rsidRPr="005453BB">
        <w:rPr>
          <w:rFonts w:ascii="Arial" w:hAnsi="Arial" w:cs="Arial"/>
          <w:color w:val="000000"/>
          <w:sz w:val="20"/>
          <w:szCs w:val="20"/>
          <w:lang w:eastAsia="pl-PL"/>
        </w:rPr>
        <w:t>nsowaniu (R), który w</w:t>
      </w:r>
      <w:r>
        <w:rPr>
          <w:rFonts w:ascii="Arial" w:hAnsi="Arial" w:cs="Arial"/>
          <w:color w:val="000000"/>
          <w:sz w:val="20"/>
          <w:szCs w:val="20"/>
          <w:lang w:eastAsia="pl-PL"/>
        </w:rPr>
        <w:t>y</w:t>
      </w:r>
      <w:r w:rsidRPr="005453BB">
        <w:rPr>
          <w:rFonts w:ascii="Arial" w:hAnsi="Arial" w:cs="Arial"/>
          <w:color w:val="000000"/>
          <w:sz w:val="20"/>
          <w:szCs w:val="20"/>
          <w:lang w:eastAsia="pl-PL"/>
        </w:rPr>
        <w:t>nikać będzie z przyjętej w danym sektorze lub podsektorze zryczałtowanej procentowej stawki dochodów</w:t>
      </w:r>
      <w:r>
        <w:rPr>
          <w:rFonts w:ascii="Arial" w:hAnsi="Arial" w:cs="Arial"/>
          <w:color w:val="000000"/>
          <w:sz w:val="20"/>
          <w:szCs w:val="20"/>
          <w:lang w:eastAsia="pl-PL"/>
        </w:rPr>
        <w:t xml:space="preserve"> </w:t>
      </w:r>
      <w:r w:rsidRPr="005453BB">
        <w:rPr>
          <w:rFonts w:ascii="Arial" w:hAnsi="Arial" w:cs="Arial"/>
          <w:color w:val="000000"/>
          <w:sz w:val="20"/>
          <w:szCs w:val="20"/>
          <w:lang w:eastAsia="pl-PL"/>
        </w:rPr>
        <w:t xml:space="preserve">składa się z następujących etapów: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ustalenie wysokości zryczałtowanej procentowej stawki dochodów określonej </w:t>
      </w:r>
      <w:r w:rsidRPr="005453BB">
        <w:rPr>
          <w:rFonts w:ascii="Arial" w:hAnsi="Arial" w:cs="Arial"/>
          <w:color w:val="000000"/>
          <w:sz w:val="20"/>
          <w:szCs w:val="20"/>
          <w:lang w:eastAsia="pl-PL"/>
        </w:rPr>
        <w:br/>
        <w:t xml:space="preserve">w rozporządzeniu ogólnym lub akcie delegowanym KE – </w:t>
      </w:r>
      <w:r w:rsidRPr="00F36191">
        <w:rPr>
          <w:rFonts w:ascii="Arial" w:hAnsi="Arial" w:cs="Arial"/>
          <w:b/>
          <w:bCs/>
          <w:color w:val="000000"/>
          <w:sz w:val="20"/>
          <w:szCs w:val="20"/>
          <w:lang w:eastAsia="pl-PL"/>
        </w:rPr>
        <w:t>FR</w:t>
      </w:r>
      <w:r w:rsidRPr="005453BB">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w oparciu o stawkę zryczałtowaną, wskaźnika luki w finansowaniu – </w:t>
      </w:r>
      <w:r w:rsidRPr="00F36191">
        <w:rPr>
          <w:rFonts w:ascii="Arial" w:hAnsi="Arial" w:cs="Arial"/>
          <w:b/>
          <w:bCs/>
          <w:color w:val="000000"/>
          <w:sz w:val="20"/>
          <w:szCs w:val="20"/>
          <w:lang w:eastAsia="pl-PL"/>
        </w:rPr>
        <w:t>R</w:t>
      </w:r>
      <w:r w:rsidRPr="008E3E71">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Pr>
          <w:rFonts w:ascii="Arial" w:hAnsi="Arial" w:cs="Arial"/>
          <w:color w:val="000000"/>
          <w:sz w:val="20"/>
          <w:szCs w:val="20"/>
          <w:lang w:eastAsia="pl-PL"/>
        </w:rPr>
        <w:t xml:space="preserve">wyliczenie kosztów kwalifikowanych skorygowanych o wskaźnik luki w finansowaniu - </w:t>
      </w:r>
      <w:r>
        <w:rPr>
          <w:rFonts w:ascii="Arial" w:hAnsi="Arial" w:cs="Arial"/>
          <w:b/>
          <w:color w:val="000000"/>
          <w:sz w:val="20"/>
          <w:szCs w:val="20"/>
          <w:lang w:eastAsia="pl-PL"/>
        </w:rPr>
        <w:t>EC</w:t>
      </w:r>
      <w:r w:rsidRPr="00310CA8">
        <w:rPr>
          <w:rFonts w:ascii="Arial" w:hAnsi="Arial" w:cs="Arial"/>
          <w:b/>
          <w:color w:val="000000"/>
          <w:sz w:val="20"/>
          <w:szCs w:val="20"/>
          <w:vertAlign w:val="subscript"/>
          <w:lang w:eastAsia="pl-PL"/>
        </w:rPr>
        <w:t>R</w:t>
      </w:r>
    </w:p>
    <w:p w:rsidR="00F966BA" w:rsidRPr="008E3E71"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(maksymalnej możliwej) dotacji UE – </w:t>
      </w:r>
      <w:r w:rsidRPr="00F36191">
        <w:rPr>
          <w:rFonts w:ascii="Arial" w:hAnsi="Arial" w:cs="Arial"/>
          <w:b/>
          <w:bCs/>
          <w:color w:val="000000"/>
          <w:sz w:val="20"/>
          <w:szCs w:val="20"/>
          <w:lang w:eastAsia="pl-PL"/>
        </w:rPr>
        <w:t>Dotacja UE</w:t>
      </w:r>
      <w:r w:rsidRPr="008E3E71">
        <w:rPr>
          <w:rFonts w:ascii="Arial" w:hAnsi="Arial" w:cs="Arial"/>
          <w:color w:val="000000"/>
          <w:sz w:val="20"/>
          <w:szCs w:val="20"/>
          <w:lang w:eastAsia="pl-PL"/>
        </w:rPr>
        <w:t xml:space="preserve">. </w:t>
      </w:r>
    </w:p>
    <w:p w:rsidR="00AE73FA" w:rsidRPr="00ED059B" w:rsidRDefault="001F2FE0" w:rsidP="0005068F">
      <w:pPr>
        <w:ind w:left="284" w:hanging="284"/>
        <w:jc w:val="both"/>
        <w:rPr>
          <w:rFonts w:ascii="Arial" w:hAnsi="Arial" w:cs="Arial"/>
          <w:sz w:val="20"/>
          <w:szCs w:val="20"/>
        </w:rPr>
      </w:pPr>
      <w:r>
        <w:rPr>
          <w:rFonts w:ascii="Arial" w:hAnsi="Arial" w:cs="Arial"/>
          <w:sz w:val="20"/>
          <w:szCs w:val="20"/>
        </w:rPr>
        <w:t xml:space="preserve">3.  </w:t>
      </w:r>
      <w:r w:rsidR="00AE73FA" w:rsidRPr="00ED059B">
        <w:rPr>
          <w:rFonts w:ascii="Arial" w:hAnsi="Arial" w:cs="Arial"/>
          <w:sz w:val="20"/>
          <w:szCs w:val="20"/>
        </w:rPr>
        <w:t xml:space="preserve">Podstawę oraz szczegółowy sposób stosowania metody zryczałtowanych procentowych stawek dochodów określają </w:t>
      </w:r>
      <w:r w:rsidR="002B46A8" w:rsidRPr="002B46A8">
        <w:rPr>
          <w:rFonts w:ascii="Arial" w:hAnsi="Arial" w:cs="Arial"/>
          <w:i/>
          <w:sz w:val="20"/>
          <w:szCs w:val="20"/>
        </w:rPr>
        <w:t>Wytyczne w zakresie zagadnień związanych z przygotowaniem projektów inwestycyjnych</w:t>
      </w:r>
      <w:r w:rsidR="00AE73FA" w:rsidRPr="00ED059B">
        <w:rPr>
          <w:rFonts w:ascii="Arial" w:hAnsi="Arial" w:cs="Arial"/>
          <w:sz w:val="20"/>
          <w:szCs w:val="20"/>
        </w:rPr>
        <w:t xml:space="preserve">. Prowadząc analizę należy również brać pod uwagę zapisy regulaminu konkursu/naboru. </w:t>
      </w:r>
    </w:p>
    <w:p w:rsidR="00AE73FA" w:rsidRPr="00ED059B" w:rsidRDefault="00AE73FA" w:rsidP="00AE73FA">
      <w:pPr>
        <w:autoSpaceDE w:val="0"/>
        <w:autoSpaceDN w:val="0"/>
        <w:adjustRightInd w:val="0"/>
        <w:ind w:left="142"/>
        <w:jc w:val="both"/>
        <w:rPr>
          <w:rFonts w:ascii="Arial" w:hAnsi="Arial" w:cs="Arial"/>
          <w:sz w:val="20"/>
          <w:szCs w:val="20"/>
        </w:rPr>
      </w:pPr>
    </w:p>
    <w:p w:rsidR="00792F98" w:rsidRDefault="00792F98" w:rsidP="00AE73FA">
      <w:pPr>
        <w:pStyle w:val="Nagwek2"/>
        <w:ind w:left="142" w:firstLine="0"/>
        <w:rPr>
          <w:rFonts w:eastAsiaTheme="minorHAnsi"/>
        </w:rPr>
      </w:pPr>
      <w:bookmarkStart w:id="91" w:name="_Toc525806071"/>
    </w:p>
    <w:p w:rsidR="00AE73FA" w:rsidRDefault="00BB4187" w:rsidP="00AE73FA">
      <w:pPr>
        <w:pStyle w:val="Nagwek2"/>
        <w:ind w:left="142" w:firstLine="0"/>
        <w:rPr>
          <w:rFonts w:eastAsiaTheme="minorHAnsi"/>
        </w:rPr>
      </w:pPr>
      <w:r>
        <w:rPr>
          <w:rFonts w:eastAsiaTheme="minorHAnsi"/>
        </w:rPr>
        <w:t>3.</w:t>
      </w:r>
      <w:r w:rsidR="00827A3E">
        <w:rPr>
          <w:rFonts w:eastAsiaTheme="minorHAnsi"/>
        </w:rPr>
        <w:t>1</w:t>
      </w:r>
      <w:r>
        <w:rPr>
          <w:rFonts w:eastAsiaTheme="minorHAnsi"/>
        </w:rPr>
        <w:t>.</w:t>
      </w:r>
      <w:r w:rsidR="001F2FE0">
        <w:rPr>
          <w:rFonts w:eastAsiaTheme="minorHAnsi"/>
        </w:rPr>
        <w:t>3</w:t>
      </w:r>
      <w:r>
        <w:rPr>
          <w:rFonts w:eastAsiaTheme="minorHAnsi"/>
        </w:rPr>
        <w:tab/>
      </w:r>
      <w:r w:rsidR="004B35F1" w:rsidRPr="005453BB">
        <w:rPr>
          <w:rFonts w:eastAsiaTheme="minorHAnsi"/>
        </w:rPr>
        <w:t>Informacje dodatkowe</w:t>
      </w:r>
      <w:bookmarkEnd w:id="91"/>
    </w:p>
    <w:p w:rsidR="00966CC2" w:rsidRPr="00ED059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92"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t>
      </w:r>
      <w:r w:rsidR="00153856">
        <w:rPr>
          <w:rFonts w:ascii="Arial" w:hAnsi="Arial" w:cs="Arial"/>
          <w:sz w:val="20"/>
          <w:szCs w:val="20"/>
        </w:rPr>
        <w:t>Na przykład w</w:t>
      </w:r>
      <w:r w:rsidRPr="005453BB">
        <w:rPr>
          <w:rFonts w:ascii="Arial" w:hAnsi="Arial" w:cs="Arial"/>
          <w:sz w:val="20"/>
          <w:szCs w:val="20"/>
        </w:rPr>
        <w:t xml:space="preserve"> przypadku transferu z NFZ taka </w:t>
      </w:r>
      <w:r w:rsidRPr="005453BB">
        <w:rPr>
          <w:rFonts w:ascii="Arial" w:hAnsi="Arial" w:cs="Arial"/>
          <w:sz w:val="20"/>
          <w:szCs w:val="20"/>
        </w:rPr>
        <w:lastRenderedPageBreak/>
        <w:t xml:space="preserve">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ED059B" w:rsidRPr="00ED059B" w:rsidRDefault="00ED059B" w:rsidP="00ED059B">
      <w:pPr>
        <w:pStyle w:val="Akapitzlist"/>
        <w:numPr>
          <w:ilvl w:val="0"/>
          <w:numId w:val="32"/>
        </w:numPr>
        <w:ind w:left="284" w:hanging="284"/>
        <w:jc w:val="both"/>
        <w:rPr>
          <w:rFonts w:ascii="Arial" w:hAnsi="Arial" w:cs="Arial"/>
          <w:sz w:val="20"/>
          <w:szCs w:val="20"/>
        </w:rPr>
      </w:pPr>
      <w:r w:rsidRPr="008477D0">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AE73FA" w:rsidRPr="0059304C" w:rsidRDefault="00AE73FA" w:rsidP="0059304C">
      <w:pPr>
        <w:jc w:val="both"/>
        <w:rPr>
          <w:rFonts w:ascii="Arial" w:hAnsi="Arial" w:cs="Arial"/>
          <w:sz w:val="20"/>
          <w:szCs w:val="20"/>
        </w:rPr>
      </w:pPr>
    </w:p>
    <w:p w:rsidR="00777944" w:rsidRPr="005453BB" w:rsidRDefault="00BC4A52" w:rsidP="0083778C">
      <w:pPr>
        <w:pStyle w:val="Nagwek1"/>
        <w:rPr>
          <w:rFonts w:cs="Arial"/>
        </w:rPr>
      </w:pPr>
      <w:r w:rsidRPr="005453BB">
        <w:rPr>
          <w:rFonts w:cs="Arial"/>
        </w:rPr>
        <w:br/>
      </w:r>
      <w:bookmarkStart w:id="93" w:name="_Toc454863196"/>
      <w:bookmarkStart w:id="94" w:name="_Toc525806072"/>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92"/>
      <w:r w:rsidR="00295265" w:rsidRPr="005453BB">
        <w:rPr>
          <w:rFonts w:cs="Arial"/>
        </w:rPr>
        <w:t>dochodu</w:t>
      </w:r>
      <w:bookmarkEnd w:id="93"/>
      <w:bookmarkEnd w:id="94"/>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ED059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r w:rsidR="00661146">
        <w:rPr>
          <w:rFonts w:ascii="Arial" w:hAnsi="Arial" w:cs="Arial"/>
          <w:sz w:val="20"/>
          <w:szCs w:val="20"/>
        </w:rPr>
        <w:t>,</w:t>
      </w:r>
    </w:p>
    <w:p w:rsidR="00ED059B" w:rsidRPr="00884650" w:rsidRDefault="00ED059B" w:rsidP="00ED059B">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lastRenderedPageBreak/>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6D532E">
        <w:rPr>
          <w:rFonts w:ascii="Arial" w:hAnsi="Arial" w:cs="Arial"/>
          <w:sz w:val="20"/>
          <w:szCs w:val="20"/>
        </w:rPr>
        <w:t xml:space="preserve"> od rozpoczęcia realizacji do</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4C76B2" w:rsidRDefault="004C76B2" w:rsidP="005027B7">
      <w:pPr>
        <w:pStyle w:val="Akapitzlist"/>
        <w:numPr>
          <w:ilvl w:val="0"/>
          <w:numId w:val="8"/>
        </w:numPr>
        <w:ind w:left="924" w:hanging="357"/>
        <w:jc w:val="both"/>
        <w:rPr>
          <w:rFonts w:ascii="Arial" w:hAnsi="Arial" w:cs="Arial"/>
          <w:sz w:val="20"/>
          <w:szCs w:val="20"/>
        </w:rPr>
      </w:pPr>
      <w:r>
        <w:rPr>
          <w:rFonts w:ascii="Arial" w:hAnsi="Arial" w:cs="Arial"/>
          <w:sz w:val="20"/>
          <w:szCs w:val="20"/>
        </w:rPr>
        <w:t>w</w:t>
      </w:r>
      <w:r w:rsidR="00AE73FA" w:rsidRPr="00AE73FA">
        <w:rPr>
          <w:rFonts w:ascii="Arial" w:hAnsi="Arial" w:cs="Arial"/>
          <w:sz w:val="20"/>
          <w:szCs w:val="20"/>
        </w:rPr>
        <w:t xml:space="preserve"> przypadku gdy nie wszystkie koszty inwestycji są kwalifikowalne, dochód zostaje przyporządkowany </w:t>
      </w:r>
      <w:r w:rsidR="00AE73FA" w:rsidRPr="00AE73FA">
        <w:rPr>
          <w:rFonts w:ascii="Arial" w:hAnsi="Arial" w:cs="Arial"/>
          <w:i/>
          <w:iCs/>
          <w:sz w:val="20"/>
          <w:szCs w:val="20"/>
        </w:rPr>
        <w:t xml:space="preserve">pro rata </w:t>
      </w:r>
      <w:r w:rsidR="00AE73FA" w:rsidRPr="00AE73FA">
        <w:rPr>
          <w:rFonts w:ascii="Arial" w:hAnsi="Arial" w:cs="Arial"/>
          <w:sz w:val="20"/>
          <w:szCs w:val="20"/>
        </w:rPr>
        <w:t>do kwalifikowalnych i niekwalifikowalnych części kosztu inwestycji</w:t>
      </w:r>
      <w:r w:rsidR="00CC6280">
        <w:rPr>
          <w:rFonts w:ascii="Arial" w:hAnsi="Arial" w:cs="Arial"/>
          <w:sz w:val="20"/>
          <w:szCs w:val="20"/>
        </w:rPr>
        <w:t xml:space="preserve">; </w:t>
      </w:r>
      <w:r w:rsidR="00CC6280" w:rsidRPr="00CC6280">
        <w:rPr>
          <w:rFonts w:ascii="Arial" w:hAnsi="Arial" w:cs="Arial"/>
          <w:sz w:val="20"/>
          <w:szCs w:val="20"/>
        </w:rPr>
        <w:t>j</w:t>
      </w:r>
      <w:r w:rsidR="008750DD" w:rsidRPr="008750DD">
        <w:rPr>
          <w:rFonts w:ascii="Arial" w:hAnsi="Arial" w:cs="Arial"/>
          <w:sz w:val="20"/>
          <w:szCs w:val="20"/>
        </w:rPr>
        <w:t>eżeli część projektu jest objęta pomocą publiczną, częś</w:t>
      </w:r>
      <w:r w:rsidR="00CC6280">
        <w:rPr>
          <w:rFonts w:ascii="Arial" w:hAnsi="Arial" w:cs="Arial"/>
          <w:sz w:val="20"/>
          <w:szCs w:val="20"/>
        </w:rPr>
        <w:t>ci kosztów sfinansowan</w:t>
      </w:r>
      <w:r w:rsidR="008750DD" w:rsidRPr="008750DD">
        <w:rPr>
          <w:rFonts w:ascii="Arial" w:hAnsi="Arial" w:cs="Arial"/>
          <w:sz w:val="20"/>
          <w:szCs w:val="20"/>
        </w:rPr>
        <w:t>ej pomocą publiczną nie należy uwzględniać po stronie kosztów kwalifikowalnych na potrzeby tego obliczenia</w:t>
      </w:r>
      <w:r w:rsidR="00CC6280">
        <w:rPr>
          <w:rFonts w:ascii="Arial" w:hAnsi="Arial" w:cs="Arial"/>
          <w:sz w:val="20"/>
          <w:szCs w:val="20"/>
        </w:rPr>
        <w:t>,</w:t>
      </w:r>
    </w:p>
    <w:p w:rsidR="004C76B2" w:rsidRDefault="00AE73FA" w:rsidP="005027B7">
      <w:pPr>
        <w:pStyle w:val="Akapitzlist"/>
        <w:numPr>
          <w:ilvl w:val="0"/>
          <w:numId w:val="8"/>
        </w:numPr>
        <w:ind w:left="924" w:hanging="357"/>
        <w:jc w:val="both"/>
        <w:rPr>
          <w:rFonts w:ascii="Arial" w:hAnsi="Arial" w:cs="Arial"/>
          <w:sz w:val="20"/>
          <w:szCs w:val="20"/>
        </w:rPr>
      </w:pPr>
      <w:r w:rsidRPr="00AE73FA">
        <w:rPr>
          <w:rFonts w:ascii="Arial" w:hAnsi="Arial" w:cs="Arial"/>
          <w:sz w:val="20"/>
          <w:szCs w:val="20"/>
        </w:rPr>
        <w:t>odliczeniu podlega rzeczywista, niezdyskontowana wartość dochodu</w:t>
      </w:r>
      <w:r w:rsidR="004C76B2">
        <w:rPr>
          <w:rFonts w:ascii="Arial" w:hAnsi="Arial" w:cs="Arial"/>
          <w:sz w:val="20"/>
          <w:szCs w:val="20"/>
        </w:rPr>
        <w:t>.</w:t>
      </w:r>
    </w:p>
    <w:p w:rsidR="00AE73FA" w:rsidRPr="00AE73FA" w:rsidRDefault="00AE73FA" w:rsidP="00AE73FA">
      <w:pPr>
        <w:pStyle w:val="Akapitzlist"/>
        <w:ind w:left="924"/>
        <w:jc w:val="both"/>
        <w:rPr>
          <w:rFonts w:ascii="Arial" w:hAnsi="Arial" w:cs="Arial"/>
          <w:sz w:val="20"/>
          <w:szCs w:val="20"/>
        </w:rPr>
      </w:pP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6861F6"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AE73FA" w:rsidRPr="006861F6" w:rsidRDefault="006861F6" w:rsidP="006861F6">
      <w:pPr>
        <w:pStyle w:val="Akapitzlist"/>
        <w:numPr>
          <w:ilvl w:val="0"/>
          <w:numId w:val="9"/>
        </w:numPr>
        <w:ind w:left="924" w:hanging="357"/>
        <w:jc w:val="both"/>
        <w:rPr>
          <w:rFonts w:ascii="Arial" w:hAnsi="Arial" w:cs="Arial"/>
          <w:color w:val="000000"/>
          <w:sz w:val="20"/>
          <w:szCs w:val="20"/>
          <w:lang w:eastAsia="pl-PL"/>
        </w:rPr>
      </w:pPr>
      <w:r>
        <w:rPr>
          <w:rFonts w:ascii="Arial" w:hAnsi="Arial" w:cs="Arial"/>
          <w:color w:val="000000"/>
          <w:sz w:val="20"/>
          <w:szCs w:val="20"/>
          <w:lang w:eastAsia="pl-PL"/>
        </w:rPr>
        <w:t>w</w:t>
      </w:r>
      <w:r w:rsidR="00AE73FA" w:rsidRPr="006861F6">
        <w:rPr>
          <w:rFonts w:ascii="Arial" w:hAnsi="Arial" w:cs="Arial"/>
          <w:color w:val="000000"/>
          <w:sz w:val="20"/>
          <w:szCs w:val="20"/>
          <w:lang w:eastAsia="pl-PL"/>
        </w:rPr>
        <w:t xml:space="preserve"> przypadku gdy nie wszystkie koszty inwestycji są kwalifikowalne, dochód zostaje przyporządkowany </w:t>
      </w:r>
      <w:r w:rsidR="00AE73FA" w:rsidRPr="006861F6">
        <w:rPr>
          <w:rFonts w:ascii="Arial" w:hAnsi="Arial" w:cs="Arial"/>
          <w:i/>
          <w:iCs/>
          <w:color w:val="000000"/>
          <w:sz w:val="20"/>
          <w:szCs w:val="20"/>
          <w:lang w:eastAsia="pl-PL"/>
        </w:rPr>
        <w:t xml:space="preserve">pro rata </w:t>
      </w:r>
      <w:r w:rsidR="00AE73FA" w:rsidRPr="006861F6">
        <w:rPr>
          <w:rFonts w:ascii="Arial" w:hAnsi="Arial" w:cs="Arial"/>
          <w:color w:val="000000"/>
          <w:sz w:val="20"/>
          <w:szCs w:val="20"/>
          <w:lang w:eastAsia="pl-PL"/>
        </w:rPr>
        <w:t xml:space="preserve">do kwalifikowalnych i niekwalifikowalnych części kosztów inwestycji. </w:t>
      </w:r>
    </w:p>
    <w:p w:rsidR="00AE73FA" w:rsidRDefault="00AE73FA" w:rsidP="00AE73FA">
      <w:pPr>
        <w:ind w:left="993" w:hanging="567"/>
        <w:jc w:val="both"/>
        <w:rPr>
          <w:rFonts w:ascii="Arial" w:hAnsi="Arial" w:cs="Arial"/>
          <w:sz w:val="20"/>
          <w:szCs w:val="20"/>
        </w:rPr>
      </w:pPr>
    </w:p>
    <w:p w:rsidR="00AE73FA" w:rsidRPr="00AE73FA" w:rsidRDefault="00AE73FA" w:rsidP="00AE73FA">
      <w:pPr>
        <w:jc w:val="both"/>
        <w:rPr>
          <w:rFonts w:ascii="Arial" w:hAnsi="Arial" w:cs="Arial"/>
          <w:sz w:val="20"/>
          <w:szCs w:val="20"/>
        </w:rPr>
      </w:pPr>
    </w:p>
    <w:p w:rsidR="00777814" w:rsidRPr="005453BB" w:rsidRDefault="007A489F" w:rsidP="00AD5479">
      <w:pPr>
        <w:pStyle w:val="Nagwek2"/>
        <w:ind w:left="499"/>
        <w:rPr>
          <w:rFonts w:cs="Arial"/>
          <w:szCs w:val="20"/>
        </w:rPr>
      </w:pPr>
      <w:bookmarkStart w:id="95" w:name="_Toc454863197"/>
      <w:bookmarkStart w:id="96" w:name="_Toc525806073"/>
      <w:r>
        <w:rPr>
          <w:rFonts w:cs="Arial"/>
          <w:szCs w:val="20"/>
        </w:rPr>
        <w:lastRenderedPageBreak/>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95"/>
      <w:bookmarkEnd w:id="96"/>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Pierwsza informacja monitorująca powinna zostać przekazana</w:t>
      </w:r>
      <w:r w:rsidR="006633C9">
        <w:rPr>
          <w:rFonts w:ascii="Arial" w:hAnsi="Arial" w:cs="Arial"/>
          <w:sz w:val="20"/>
          <w:szCs w:val="20"/>
        </w:rPr>
        <w:t xml:space="preserve"> </w:t>
      </w:r>
      <w:r w:rsidR="009F0803">
        <w:rPr>
          <w:rFonts w:ascii="Arial" w:hAnsi="Arial" w:cs="Arial"/>
          <w:sz w:val="20"/>
          <w:szCs w:val="20"/>
        </w:rPr>
        <w:t xml:space="preserve">w </w:t>
      </w:r>
      <w:r w:rsidRPr="005453BB">
        <w:rPr>
          <w:rFonts w:ascii="Arial" w:hAnsi="Arial" w:cs="Arial"/>
          <w:sz w:val="20"/>
          <w:szCs w:val="20"/>
        </w:rPr>
        <w:t>roku następując</w:t>
      </w:r>
      <w:r w:rsidR="009F0803">
        <w:rPr>
          <w:rFonts w:ascii="Arial" w:hAnsi="Arial" w:cs="Arial"/>
          <w:sz w:val="20"/>
          <w:szCs w:val="20"/>
        </w:rPr>
        <w:t>ym</w:t>
      </w:r>
      <w:r w:rsidRPr="005453BB">
        <w:rPr>
          <w:rFonts w:ascii="Arial" w:hAnsi="Arial" w:cs="Arial"/>
          <w:sz w:val="20"/>
          <w:szCs w:val="20"/>
        </w:rPr>
        <w:t xml:space="preserve">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97" w:name="_Toc454863198"/>
    </w:p>
    <w:p w:rsidR="00777814" w:rsidRPr="005453BB" w:rsidRDefault="00C273A7" w:rsidP="00CD01E2">
      <w:pPr>
        <w:pStyle w:val="Nagwek2"/>
        <w:tabs>
          <w:tab w:val="left" w:pos="284"/>
        </w:tabs>
        <w:ind w:left="499"/>
        <w:rPr>
          <w:rFonts w:cs="Arial"/>
          <w:szCs w:val="20"/>
        </w:rPr>
      </w:pPr>
      <w:bookmarkStart w:id="98" w:name="_Toc525806074"/>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97"/>
      <w:bookmarkEnd w:id="98"/>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w:t>
      </w:r>
      <w:r w:rsidR="006633C9">
        <w:rPr>
          <w:rFonts w:ascii="Arial" w:eastAsia="Tahoma" w:hAnsi="Arial" w:cs="Arial"/>
          <w:color w:val="000000"/>
          <w:sz w:val="20"/>
          <w:szCs w:val="20"/>
          <w:lang w:eastAsia="pl-PL"/>
        </w:rPr>
        <w:t xml:space="preserve"> </w:t>
      </w:r>
      <w:r w:rsidR="00A95263">
        <w:rPr>
          <w:rFonts w:ascii="Arial" w:eastAsia="Tahoma" w:hAnsi="Arial" w:cs="Arial"/>
          <w:color w:val="000000"/>
          <w:sz w:val="20"/>
          <w:szCs w:val="20"/>
          <w:lang w:eastAsia="pl-PL"/>
        </w:rPr>
        <w:t>c</w:t>
      </w:r>
      <w:r w:rsidRPr="005453BB">
        <w:rPr>
          <w:rFonts w:ascii="Arial" w:eastAsia="Tahoma" w:hAnsi="Arial" w:cs="Arial"/>
          <w:color w:val="000000"/>
          <w:sz w:val="20"/>
          <w:szCs w:val="20"/>
          <w:lang w:eastAsia="pl-PL"/>
        </w:rPr>
        <w:t>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lastRenderedPageBreak/>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99" w:name="_Toc454863199"/>
    </w:p>
    <w:p w:rsidR="007A489F" w:rsidRDefault="000F491C" w:rsidP="005027B7">
      <w:pPr>
        <w:pStyle w:val="Nagwek2"/>
        <w:tabs>
          <w:tab w:val="left" w:pos="709"/>
        </w:tabs>
        <w:ind w:left="499"/>
        <w:rPr>
          <w:rFonts w:cs="Arial"/>
          <w:szCs w:val="20"/>
        </w:rPr>
      </w:pPr>
      <w:bookmarkStart w:id="100" w:name="_Toc525806075"/>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100"/>
    </w:p>
    <w:bookmarkEnd w:id="99"/>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101" w:name="_Toc454863200"/>
    </w:p>
    <w:p w:rsidR="000F491C" w:rsidRPr="000F491C" w:rsidRDefault="00C273A7" w:rsidP="000F491C">
      <w:pPr>
        <w:pStyle w:val="Nagwek2"/>
        <w:ind w:left="499"/>
        <w:rPr>
          <w:rFonts w:cs="Arial"/>
          <w:szCs w:val="20"/>
        </w:rPr>
      </w:pPr>
      <w:bookmarkStart w:id="102" w:name="_Toc525806076"/>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101"/>
      <w:bookmarkEnd w:id="102"/>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103" w:name="_Toc525806077"/>
      <w:bookmarkStart w:id="104" w:name="_Toc444153280"/>
      <w:r w:rsidRPr="008863AC">
        <w:t xml:space="preserve">4.2 </w:t>
      </w:r>
      <w:r w:rsidR="008F62B8" w:rsidRPr="008863AC">
        <w:t>Zmiany dochodowości projektów</w:t>
      </w:r>
      <w:bookmarkEnd w:id="103"/>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105" w:name="_Toc525806078"/>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105"/>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5921E0"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w:t>
      </w:r>
      <w:r w:rsidRPr="008863AC">
        <w:rPr>
          <w:rFonts w:ascii="Arial" w:hAnsi="Arial" w:cs="Arial"/>
          <w:sz w:val="20"/>
          <w:szCs w:val="20"/>
        </w:rPr>
        <w:lastRenderedPageBreak/>
        <w:t>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rFonts w:ascii="Arial" w:hAnsi="Arial" w:cs="Arial"/>
          <w:b/>
          <w:vanish/>
          <w:sz w:val="20"/>
          <w:szCs w:val="20"/>
        </w:rPr>
      </w:pPr>
    </w:p>
    <w:p w:rsidR="005E0F3C" w:rsidRPr="008863AC" w:rsidRDefault="005E0F3C" w:rsidP="005027B7">
      <w:pPr>
        <w:pStyle w:val="Akapitzlist"/>
        <w:numPr>
          <w:ilvl w:val="2"/>
          <w:numId w:val="36"/>
        </w:numPr>
        <w:jc w:val="both"/>
        <w:rPr>
          <w:rFonts w:ascii="Arial" w:hAnsi="Arial" w:cs="Arial"/>
          <w:b/>
          <w:vanish/>
          <w:sz w:val="20"/>
          <w:szCs w:val="20"/>
        </w:rPr>
      </w:pPr>
    </w:p>
    <w:p w:rsidR="008F62B8" w:rsidRPr="008863AC" w:rsidRDefault="005E0F3C" w:rsidP="00AD5479">
      <w:pPr>
        <w:pStyle w:val="Nagwek2"/>
        <w:ind w:left="499"/>
      </w:pPr>
      <w:bookmarkStart w:id="106" w:name="_Toc525806079"/>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106"/>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lastRenderedPageBreak/>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107" w:name="_Toc454863201"/>
      <w:bookmarkStart w:id="108" w:name="_Toc525806080"/>
      <w:r w:rsidR="00F20D6B" w:rsidRPr="008863AC">
        <w:rPr>
          <w:rFonts w:cs="Arial"/>
        </w:rPr>
        <w:t xml:space="preserve">Rozdział </w:t>
      </w:r>
      <w:r w:rsidR="00930CC8" w:rsidRPr="008863AC">
        <w:rPr>
          <w:rFonts w:cs="Arial"/>
        </w:rPr>
        <w:t>5</w:t>
      </w:r>
      <w:r w:rsidR="00F20D6B" w:rsidRPr="008863AC">
        <w:rPr>
          <w:rFonts w:cs="Arial"/>
        </w:rPr>
        <w:t xml:space="preserve"> </w:t>
      </w:r>
      <w:bookmarkEnd w:id="104"/>
      <w:r w:rsidR="00295265" w:rsidRPr="008863AC">
        <w:rPr>
          <w:rFonts w:cs="Arial"/>
        </w:rPr>
        <w:t>Monitorowanie kosztów kwalifikowalnych w przypadku projektów generujących dochód</w:t>
      </w:r>
      <w:bookmarkEnd w:id="107"/>
      <w:bookmarkEnd w:id="108"/>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2B74F2" w:rsidRDefault="002B74F2" w:rsidP="002B74F2">
      <w:pPr>
        <w:ind w:left="426" w:hanging="284"/>
        <w:jc w:val="both"/>
        <w:rPr>
          <w:rFonts w:ascii="Arial" w:hAnsi="Arial" w:cs="Arial"/>
          <w:sz w:val="20"/>
          <w:szCs w:val="20"/>
        </w:rPr>
      </w:pPr>
      <w:r>
        <w:rPr>
          <w:rFonts w:ascii="Arial" w:hAnsi="Arial" w:cs="Arial"/>
          <w:sz w:val="20"/>
          <w:szCs w:val="20"/>
        </w:rPr>
        <w:t xml:space="preserve">3.  </w:t>
      </w:r>
      <w:r w:rsidR="00866F66" w:rsidRPr="002B74F2">
        <w:rPr>
          <w:rFonts w:ascii="Arial" w:hAnsi="Arial" w:cs="Arial"/>
          <w:sz w:val="20"/>
          <w:szCs w:val="20"/>
        </w:rPr>
        <w:t>Mając na uwadze dynamiczny charakter zmian bud</w:t>
      </w:r>
      <w:r w:rsidR="00297CF2" w:rsidRPr="002B74F2">
        <w:rPr>
          <w:rFonts w:ascii="Arial" w:hAnsi="Arial" w:cs="Arial"/>
          <w:sz w:val="20"/>
          <w:szCs w:val="20"/>
        </w:rPr>
        <w:t>ż</w:t>
      </w:r>
      <w:r w:rsidR="00866F66" w:rsidRPr="002B74F2">
        <w:rPr>
          <w:rFonts w:ascii="Arial" w:hAnsi="Arial" w:cs="Arial"/>
          <w:sz w:val="20"/>
          <w:szCs w:val="20"/>
        </w:rPr>
        <w:t xml:space="preserve">etów projektów IZ RPO WZ może dokonać ostatecznego ustalenia kosztów kwalifikowalnych na potrzeby prowadzonego monitoringu przed zatwierdzeniem </w:t>
      </w:r>
      <w:r w:rsidR="00726582" w:rsidRPr="002B74F2">
        <w:rPr>
          <w:rFonts w:ascii="Arial" w:hAnsi="Arial" w:cs="Arial"/>
          <w:sz w:val="20"/>
          <w:szCs w:val="20"/>
        </w:rPr>
        <w:t>wniosku o płatność końcową</w:t>
      </w:r>
      <w:r w:rsidR="00866F66" w:rsidRPr="002B74F2">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109" w:name="_Toc525806081"/>
      <w:r w:rsidRPr="008863AC">
        <w:t xml:space="preserve">Zasady i tryb </w:t>
      </w:r>
      <w:r w:rsidR="001D660D" w:rsidRPr="008863AC">
        <w:t xml:space="preserve">ponownego wyliczania </w:t>
      </w:r>
      <w:r w:rsidRPr="008863AC">
        <w:t>kwoty dofinansowania w projekcie</w:t>
      </w:r>
      <w:bookmarkEnd w:id="109"/>
    </w:p>
    <w:p w:rsidR="00552C61" w:rsidRPr="00EC6EB6" w:rsidRDefault="00AE73FA" w:rsidP="007468E1">
      <w:pPr>
        <w:ind w:left="284" w:hanging="284"/>
        <w:jc w:val="both"/>
        <w:rPr>
          <w:rFonts w:ascii="Arial" w:hAnsi="Arial" w:cs="Arial"/>
          <w:sz w:val="20"/>
          <w:szCs w:val="20"/>
        </w:rPr>
      </w:pPr>
      <w:r w:rsidRPr="00AE73FA">
        <w:rPr>
          <w:rFonts w:ascii="Arial" w:hAnsi="Arial" w:cs="Arial"/>
          <w:sz w:val="20"/>
          <w:szCs w:val="20"/>
        </w:rPr>
        <w:t xml:space="preserve">1. W przypadku wystąpienia sytuacji zmiany kosztów kwalifikowalnych w ramach projektów </w:t>
      </w:r>
      <w:r w:rsidR="007468E1">
        <w:rPr>
          <w:rFonts w:ascii="Arial" w:hAnsi="Arial" w:cs="Arial"/>
          <w:sz w:val="20"/>
          <w:szCs w:val="20"/>
        </w:rPr>
        <w:t xml:space="preserve">  </w:t>
      </w:r>
      <w:r w:rsidRPr="00AE73FA">
        <w:rPr>
          <w:rFonts w:ascii="Arial" w:hAnsi="Arial" w:cs="Arial"/>
          <w:sz w:val="20"/>
          <w:szCs w:val="20"/>
        </w:rPr>
        <w:t>generujących dochód IZ RPO WZ może zobowiązać beneficjenta do:</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7468E1" w:rsidRDefault="00552C61" w:rsidP="008D4244">
      <w:pPr>
        <w:ind w:left="1058"/>
        <w:jc w:val="both"/>
        <w:rPr>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953071">
        <w:rPr>
          <w:rFonts w:ascii="Arial" w:hAnsi="Arial" w:cs="Arial"/>
          <w:sz w:val="20"/>
          <w:szCs w:val="20"/>
        </w:rPr>
        <w:t>,</w:t>
      </w:r>
    </w:p>
    <w:p w:rsidR="00EB4A5B" w:rsidRDefault="00EB4A5B" w:rsidP="00EB4A5B">
      <w:pPr>
        <w:ind w:left="284" w:hanging="284"/>
        <w:jc w:val="both"/>
      </w:pPr>
      <w:r w:rsidRPr="00EB4A5B">
        <w:rPr>
          <w:rFonts w:ascii="Arial" w:hAnsi="Arial" w:cs="Arial"/>
          <w:sz w:val="20"/>
          <w:szCs w:val="20"/>
        </w:rPr>
        <w:lastRenderedPageBreak/>
        <w:t xml:space="preserve"> 2</w:t>
      </w:r>
      <w:r>
        <w:rPr>
          <w:rFonts w:ascii="Arial" w:hAnsi="Arial" w:cs="Arial"/>
          <w:sz w:val="20"/>
          <w:szCs w:val="20"/>
        </w:rPr>
        <w:t xml:space="preserve">.  </w:t>
      </w:r>
      <w:r w:rsidR="00131C97">
        <w:rPr>
          <w:rFonts w:ascii="Arial" w:hAnsi="Arial" w:cs="Arial"/>
          <w:sz w:val="20"/>
          <w:szCs w:val="20"/>
        </w:rPr>
        <w:t>I</w:t>
      </w:r>
      <w:r w:rsidR="00AE73FA" w:rsidRPr="00EB4A5B">
        <w:rPr>
          <w:rFonts w:ascii="Arial" w:hAnsi="Arial" w:cs="Arial"/>
          <w:sz w:val="20"/>
          <w:szCs w:val="20"/>
        </w:rPr>
        <w:t xml:space="preserve">Z RPO WZ skieruje do beneficjenta  zobowiązanie, o którym mowa powyżej , co do zasady przed </w:t>
      </w:r>
      <w:r>
        <w:rPr>
          <w:rFonts w:ascii="Arial" w:hAnsi="Arial" w:cs="Arial"/>
          <w:sz w:val="20"/>
          <w:szCs w:val="20"/>
        </w:rPr>
        <w:t xml:space="preserve"> </w:t>
      </w:r>
      <w:r w:rsidR="00AE73FA" w:rsidRPr="00EB4A5B">
        <w:rPr>
          <w:rFonts w:ascii="Arial" w:hAnsi="Arial" w:cs="Arial"/>
          <w:sz w:val="20"/>
          <w:szCs w:val="20"/>
        </w:rPr>
        <w:t xml:space="preserve">zatwierdzeniem wniosku o płatność końcową po ustaleniu ostatecznych całkowitych wydatków </w:t>
      </w:r>
      <w:r>
        <w:rPr>
          <w:rFonts w:ascii="Arial" w:hAnsi="Arial" w:cs="Arial"/>
          <w:sz w:val="20"/>
          <w:szCs w:val="20"/>
        </w:rPr>
        <w:t xml:space="preserve"> </w:t>
      </w:r>
      <w:r w:rsidR="00AE73FA" w:rsidRPr="00EB4A5B">
        <w:rPr>
          <w:rFonts w:ascii="Arial" w:hAnsi="Arial" w:cs="Arial"/>
          <w:sz w:val="20"/>
          <w:szCs w:val="20"/>
        </w:rPr>
        <w:t xml:space="preserve">kwalifkowalnych. Nie oznacza to, że zobowiązanie takie nie może być skierowane do beneficjenta </w:t>
      </w:r>
      <w:r>
        <w:rPr>
          <w:rFonts w:ascii="Arial" w:hAnsi="Arial" w:cs="Arial"/>
          <w:sz w:val="20"/>
          <w:szCs w:val="20"/>
        </w:rPr>
        <w:t xml:space="preserve"> </w:t>
      </w:r>
      <w:r w:rsidR="00AE73FA" w:rsidRPr="00EB4A5B">
        <w:rPr>
          <w:rFonts w:ascii="Arial" w:hAnsi="Arial" w:cs="Arial"/>
          <w:sz w:val="20"/>
          <w:szCs w:val="20"/>
        </w:rPr>
        <w:t>na wcześniejszym etapie lub po ostatecznym rozliczeniu projektu.</w:t>
      </w:r>
    </w:p>
    <w:p w:rsidR="00AE73FA" w:rsidRPr="00EB4A5B" w:rsidRDefault="00EB4A5B" w:rsidP="00EB4A5B">
      <w:pPr>
        <w:ind w:left="284" w:hanging="284"/>
        <w:jc w:val="both"/>
      </w:pPr>
      <w:r>
        <w:rPr>
          <w:rFonts w:ascii="Arial" w:hAnsi="Arial" w:cs="Arial"/>
          <w:sz w:val="20"/>
          <w:szCs w:val="20"/>
        </w:rPr>
        <w:t xml:space="preserve">3. </w:t>
      </w:r>
      <w:r w:rsidR="00AE73FA" w:rsidRPr="00EB4A5B">
        <w:rPr>
          <w:rFonts w:ascii="Arial" w:hAnsi="Arial" w:cs="Arial"/>
          <w:sz w:val="20"/>
          <w:szCs w:val="20"/>
        </w:rPr>
        <w:t xml:space="preserve">Jeżeli oprócz sytuacji zmiany kosztów kwalifikowalnych wystąpi również jedna z okoliczności, o których mowa w rozdziale 4 niniejszych </w:t>
      </w:r>
      <w:r w:rsidR="00AE73FA" w:rsidRPr="00EB4A5B">
        <w:rPr>
          <w:rFonts w:ascii="Arial" w:hAnsi="Arial" w:cs="Arial"/>
          <w:i/>
          <w:sz w:val="20"/>
          <w:szCs w:val="20"/>
        </w:rPr>
        <w:t>Zasad</w:t>
      </w:r>
      <w:r w:rsidR="00AE73FA" w:rsidRPr="00EB4A5B">
        <w:rPr>
          <w:rFonts w:ascii="Arial" w:hAnsi="Arial" w:cs="Arial"/>
          <w:sz w:val="20"/>
          <w:szCs w:val="20"/>
        </w:rPr>
        <w:t>, do określenia nowej wysokości dofinansowania będzie miał zastosowanie odpowiednio i rozdział 4.</w:t>
      </w:r>
    </w:p>
    <w:p w:rsidR="00953071" w:rsidRDefault="00953071" w:rsidP="00BC6FF2">
      <w:pPr>
        <w:jc w:val="both"/>
        <w:rPr>
          <w:rFonts w:ascii="Arial" w:hAnsi="Arial" w:cs="Arial"/>
          <w:sz w:val="20"/>
          <w:szCs w:val="20"/>
        </w:rPr>
      </w:pP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110" w:name="_Toc446573376"/>
      <w:bookmarkStart w:id="111" w:name="_Toc446573377"/>
      <w:bookmarkEnd w:id="21"/>
      <w:bookmarkEnd w:id="22"/>
      <w:bookmarkEnd w:id="23"/>
      <w:bookmarkEnd w:id="24"/>
      <w:bookmarkEnd w:id="110"/>
      <w:bookmarkEnd w:id="11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3"/>
          <w:footerReference w:type="default" r:id="rId14"/>
          <w:headerReference w:type="first" r:id="rId15"/>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112" w:name="_Toc454863205"/>
      <w:bookmarkStart w:id="113" w:name="_Toc525806082"/>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112"/>
      <w:bookmarkEnd w:id="11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F7588D" w:rsidP="00362C33">
      <w:r>
        <w:rPr>
          <w:rFonts w:cs="Arial"/>
          <w:noProof/>
          <w:lang w:eastAsia="pl-PL"/>
        </w:rPr>
        <w:lastRenderedPageBreak/>
        <w:drawing>
          <wp:anchor distT="0" distB="0" distL="114300" distR="114300" simplePos="0" relativeHeight="251671552" behindDoc="1" locked="0" layoutInCell="1" allowOverlap="1">
            <wp:simplePos x="0" y="0"/>
            <wp:positionH relativeFrom="margin">
              <wp:posOffset>-897890</wp:posOffset>
            </wp:positionH>
            <wp:positionV relativeFrom="margin">
              <wp:posOffset>-723900</wp:posOffset>
            </wp:positionV>
            <wp:extent cx="9029065" cy="11391265"/>
            <wp:effectExtent l="19050" t="0" r="635"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29065" cy="11391265"/>
                    </a:xfrm>
                    <a:prstGeom prst="rect">
                      <a:avLst/>
                    </a:prstGeom>
                  </pic:spPr>
                </pic:pic>
              </a:graphicData>
            </a:graphic>
          </wp:anchor>
        </w:drawing>
      </w:r>
      <w:r w:rsidR="00055A83">
        <w:rPr>
          <w:rFonts w:cs="Arial"/>
          <w:noProof/>
          <w:lang w:eastAsia="pl-PL"/>
        </w:rPr>
        <w:pict>
          <v:group id="Grupa 2" o:spid="_x0000_s1026" style="position:absolute;margin-left:50.35pt;margin-top:529.55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7"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6D3061" w:rsidRPr="009C1260" w:rsidRDefault="006D3061" w:rsidP="00410C73">
                    <w:pPr>
                      <w:jc w:val="center"/>
                      <w:rPr>
                        <w:sz w:val="20"/>
                      </w:rPr>
                    </w:pPr>
                    <w:r w:rsidRPr="009C1260">
                      <w:rPr>
                        <w:rFonts w:ascii="Arial" w:hAnsi="Arial" w:cs="Arial"/>
                        <w:b/>
                        <w:color w:val="FFFFFF"/>
                        <w:sz w:val="16"/>
                        <w:szCs w:val="16"/>
                      </w:rPr>
                      <w:t>70-203 Szczecin</w:t>
                    </w:r>
                  </w:p>
                  <w:p w:rsidR="006D3061" w:rsidRPr="009C1260" w:rsidRDefault="006D3061" w:rsidP="00A321DD">
                    <w:pPr>
                      <w:jc w:val="center"/>
                      <w:rPr>
                        <w:rFonts w:ascii="TitilliumText25L" w:hAnsi="TitilliumText25L"/>
                        <w:color w:val="FFFFFF"/>
                        <w:sz w:val="24"/>
                        <w:szCs w:val="24"/>
                      </w:rPr>
                    </w:pPr>
                  </w:p>
                </w:txbxContent>
              </v:textbox>
            </v:shape>
            <w10:wrap type="square" anchorx="margin" anchory="margin"/>
          </v:group>
        </w:pict>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61" w:rsidRDefault="006D3061" w:rsidP="00C056A3">
      <w:pPr>
        <w:spacing w:line="240" w:lineRule="auto"/>
      </w:pPr>
      <w:r>
        <w:separator/>
      </w:r>
    </w:p>
    <w:p w:rsidR="006D3061" w:rsidRDefault="006D3061"/>
    <w:p w:rsidR="006D3061" w:rsidRDefault="006D3061" w:rsidP="007C7973"/>
  </w:endnote>
  <w:endnote w:type="continuationSeparator" w:id="0">
    <w:p w:rsidR="006D3061" w:rsidRDefault="006D3061" w:rsidP="00C056A3">
      <w:pPr>
        <w:spacing w:line="240" w:lineRule="auto"/>
      </w:pPr>
      <w:r>
        <w:continuationSeparator/>
      </w:r>
    </w:p>
    <w:p w:rsidR="006D3061" w:rsidRDefault="006D3061"/>
    <w:p w:rsidR="006D3061" w:rsidRDefault="006D3061" w:rsidP="007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9161523"/>
      <w:docPartObj>
        <w:docPartGallery w:val="Page Numbers (Bottom of Page)"/>
        <w:docPartUnique/>
      </w:docPartObj>
    </w:sdtPr>
    <w:sdtEndPr/>
    <w:sdtContent>
      <w:sdt>
        <w:sdtPr>
          <w:rPr>
            <w:rFonts w:ascii="Arial" w:hAnsi="Arial" w:cs="Arial"/>
            <w:sz w:val="14"/>
            <w:szCs w:val="14"/>
          </w:rPr>
          <w:id w:val="9161524"/>
          <w:docPartObj>
            <w:docPartGallery w:val="Page Numbers (Top of Page)"/>
            <w:docPartUnique/>
          </w:docPartObj>
        </w:sdtPr>
        <w:sdtEndPr/>
        <w:sdtContent>
          <w:p w:rsidR="006D3061" w:rsidRPr="007F059F" w:rsidRDefault="006D3061">
            <w:pPr>
              <w:pStyle w:val="Stopka"/>
              <w:jc w:val="right"/>
              <w:rPr>
                <w:rFonts w:ascii="Arial" w:hAnsi="Arial" w:cs="Arial"/>
                <w:sz w:val="14"/>
                <w:szCs w:val="14"/>
              </w:rPr>
            </w:pPr>
            <w:r w:rsidRPr="007F059F">
              <w:rPr>
                <w:rFonts w:ascii="Arial" w:hAnsi="Arial" w:cs="Arial"/>
                <w:sz w:val="14"/>
                <w:szCs w:val="14"/>
              </w:rPr>
              <w:t xml:space="preserve">Strona </w:t>
            </w:r>
            <w:r w:rsidR="002C1A89" w:rsidRPr="007F059F">
              <w:rPr>
                <w:rFonts w:ascii="Arial" w:hAnsi="Arial" w:cs="Arial"/>
                <w:b/>
                <w:bCs/>
                <w:sz w:val="14"/>
                <w:szCs w:val="14"/>
              </w:rPr>
              <w:fldChar w:fldCharType="begin"/>
            </w:r>
            <w:r w:rsidRPr="007F059F">
              <w:rPr>
                <w:rFonts w:ascii="Arial" w:hAnsi="Arial" w:cs="Arial"/>
                <w:b/>
                <w:bCs/>
                <w:sz w:val="14"/>
                <w:szCs w:val="14"/>
              </w:rPr>
              <w:instrText>PAGE</w:instrText>
            </w:r>
            <w:r w:rsidR="002C1A89" w:rsidRPr="007F059F">
              <w:rPr>
                <w:rFonts w:ascii="Arial" w:hAnsi="Arial" w:cs="Arial"/>
                <w:b/>
                <w:bCs/>
                <w:sz w:val="14"/>
                <w:szCs w:val="14"/>
              </w:rPr>
              <w:fldChar w:fldCharType="separate"/>
            </w:r>
            <w:r w:rsidR="00055A83">
              <w:rPr>
                <w:rFonts w:ascii="Arial" w:hAnsi="Arial" w:cs="Arial"/>
                <w:b/>
                <w:bCs/>
                <w:noProof/>
                <w:sz w:val="14"/>
                <w:szCs w:val="14"/>
              </w:rPr>
              <w:t>2</w:t>
            </w:r>
            <w:r w:rsidR="002C1A89" w:rsidRPr="007F059F">
              <w:rPr>
                <w:rFonts w:ascii="Arial" w:hAnsi="Arial" w:cs="Arial"/>
                <w:b/>
                <w:bCs/>
                <w:sz w:val="14"/>
                <w:szCs w:val="14"/>
              </w:rPr>
              <w:fldChar w:fldCharType="end"/>
            </w:r>
            <w:r w:rsidRPr="007F059F">
              <w:rPr>
                <w:rFonts w:ascii="Arial" w:hAnsi="Arial" w:cs="Arial"/>
                <w:sz w:val="14"/>
                <w:szCs w:val="14"/>
              </w:rPr>
              <w:t xml:space="preserve"> z </w:t>
            </w:r>
            <w:r w:rsidR="002C1A89" w:rsidRPr="007F059F">
              <w:rPr>
                <w:rFonts w:ascii="Arial" w:hAnsi="Arial" w:cs="Arial"/>
                <w:b/>
                <w:bCs/>
                <w:sz w:val="14"/>
                <w:szCs w:val="14"/>
              </w:rPr>
              <w:fldChar w:fldCharType="begin"/>
            </w:r>
            <w:r w:rsidRPr="007F059F">
              <w:rPr>
                <w:rFonts w:ascii="Arial" w:hAnsi="Arial" w:cs="Arial"/>
                <w:b/>
                <w:bCs/>
                <w:sz w:val="14"/>
                <w:szCs w:val="14"/>
              </w:rPr>
              <w:instrText>NUMPAGES</w:instrText>
            </w:r>
            <w:r w:rsidR="002C1A89" w:rsidRPr="007F059F">
              <w:rPr>
                <w:rFonts w:ascii="Arial" w:hAnsi="Arial" w:cs="Arial"/>
                <w:b/>
                <w:bCs/>
                <w:sz w:val="14"/>
                <w:szCs w:val="14"/>
              </w:rPr>
              <w:fldChar w:fldCharType="separate"/>
            </w:r>
            <w:r w:rsidR="00055A83">
              <w:rPr>
                <w:rFonts w:ascii="Arial" w:hAnsi="Arial" w:cs="Arial"/>
                <w:b/>
                <w:bCs/>
                <w:noProof/>
                <w:sz w:val="14"/>
                <w:szCs w:val="14"/>
              </w:rPr>
              <w:t>21</w:t>
            </w:r>
            <w:r w:rsidR="002C1A89" w:rsidRPr="007F059F">
              <w:rPr>
                <w:rFonts w:ascii="Arial" w:hAnsi="Arial" w:cs="Arial"/>
                <w:b/>
                <w:bCs/>
                <w:sz w:val="14"/>
                <w:szCs w:val="14"/>
              </w:rPr>
              <w:fldChar w:fldCharType="end"/>
            </w:r>
          </w:p>
        </w:sdtContent>
      </w:sdt>
    </w:sdtContent>
  </w:sdt>
  <w:p w:rsidR="006D3061" w:rsidRPr="005C5086" w:rsidRDefault="006D3061" w:rsidP="007C7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61" w:rsidRDefault="006D3061" w:rsidP="004D3FDD">
      <w:pPr>
        <w:spacing w:line="240" w:lineRule="auto"/>
      </w:pPr>
      <w:r>
        <w:separator/>
      </w:r>
    </w:p>
  </w:footnote>
  <w:footnote w:type="continuationSeparator" w:id="0">
    <w:p w:rsidR="006D3061" w:rsidRDefault="006D3061" w:rsidP="00C056A3">
      <w:pPr>
        <w:spacing w:line="240" w:lineRule="auto"/>
      </w:pPr>
      <w:r>
        <w:continuationSeparator/>
      </w:r>
    </w:p>
    <w:p w:rsidR="006D3061" w:rsidRDefault="006D3061"/>
    <w:p w:rsidR="006D3061" w:rsidRDefault="006D3061" w:rsidP="007C7973"/>
  </w:footnote>
  <w:footnote w:id="1">
    <w:p w:rsidR="006D3061" w:rsidRDefault="006D3061">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i/>
        <w:iCs/>
        <w:color w:val="365F91"/>
        <w:sz w:val="16"/>
        <w:szCs w:val="16"/>
        <w:lang w:eastAsia="pl-PL"/>
      </w:rPr>
      <w:alias w:val="Tytuł"/>
      <w:id w:val="9161522"/>
      <w:dataBinding w:prefixMappings="xmlns:ns0='http://schemas.openxmlformats.org/package/2006/metadata/core-properties' xmlns:ns1='http://purl.org/dc/elements/1.1/'" w:xpath="/ns0:coreProperties[1]/ns1:title[1]" w:storeItemID="{6C3C8BC8-F283-45AE-878A-BAB7291924A1}"/>
      <w:text/>
    </w:sdtPr>
    <w:sdtEndPr/>
    <w:sdtContent>
      <w:p w:rsidR="006D3061" w:rsidRPr="007F059F" w:rsidRDefault="006D3061">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6D3061" w:rsidRPr="00F20D6B" w:rsidRDefault="006D3061" w:rsidP="00F20D6B">
    <w:pPr>
      <w:pStyle w:val="Nagwek"/>
      <w:pBdr>
        <w:between w:val="single" w:sz="4" w:space="1" w:color="4F81BD" w:themeColor="accent1"/>
      </w:pBd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061" w:rsidRDefault="006D3061" w:rsidP="00F2666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0AD1387"/>
    <w:multiLevelType w:val="hybridMultilevel"/>
    <w:tmpl w:val="92D80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A951C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
    <w:nsid w:val="22CE7D3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7AA4D8E"/>
    <w:multiLevelType w:val="multilevel"/>
    <w:tmpl w:val="09D0C9E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3198595D"/>
    <w:multiLevelType w:val="hybridMultilevel"/>
    <w:tmpl w:val="2BCEE25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31">
    <w:nsid w:val="444B3C93"/>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101367"/>
    <w:multiLevelType w:val="hybridMultilevel"/>
    <w:tmpl w:val="1368C3C4"/>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0">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125DA1"/>
    <w:multiLevelType w:val="hybridMultilevel"/>
    <w:tmpl w:val="614E8C30"/>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EC5194"/>
    <w:multiLevelType w:val="hybridMultilevel"/>
    <w:tmpl w:val="EB2E03BA"/>
    <w:lvl w:ilvl="0" w:tplc="0415000F">
      <w:start w:val="1"/>
      <w:numFmt w:val="decimal"/>
      <w:lvlText w:val="%1."/>
      <w:lvlJc w:val="left"/>
      <w:pPr>
        <w:ind w:left="720" w:hanging="360"/>
      </w:pPr>
    </w:lvl>
    <w:lvl w:ilvl="1" w:tplc="333E2BAE">
      <w:start w:val="2"/>
      <w:numFmt w:val="decimal"/>
      <w:lvlText w:val="%2"/>
      <w:lvlJc w:val="left"/>
      <w:pPr>
        <w:ind w:left="1440" w:hanging="360"/>
      </w:pPr>
      <w:rPr>
        <w:rFonts w:ascii="Arial" w:hAnsi="Arial" w:cs="Arial" w:hint="default"/>
        <w:sz w:val="20"/>
      </w:r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79532547"/>
    <w:multiLevelType w:val="multilevel"/>
    <w:tmpl w:val="EE54A02A"/>
    <w:lvl w:ilvl="0">
      <w:start w:val="1"/>
      <w:numFmt w:val="decimal"/>
      <w:lvlText w:val="%1."/>
      <w:lvlJc w:val="left"/>
      <w:pPr>
        <w:ind w:left="502" w:hanging="360"/>
      </w:pPr>
      <w:rPr>
        <w:rFonts w:hint="default"/>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nsid w:val="7B1A55AE"/>
    <w:multiLevelType w:val="hybridMultilevel"/>
    <w:tmpl w:val="9E4A2630"/>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6"/>
  </w:num>
  <w:num w:numId="6">
    <w:abstractNumId w:val="18"/>
  </w:num>
  <w:num w:numId="7">
    <w:abstractNumId w:val="32"/>
  </w:num>
  <w:num w:numId="8">
    <w:abstractNumId w:val="36"/>
  </w:num>
  <w:num w:numId="9">
    <w:abstractNumId w:val="14"/>
  </w:num>
  <w:num w:numId="10">
    <w:abstractNumId w:val="41"/>
  </w:num>
  <w:num w:numId="11">
    <w:abstractNumId w:val="38"/>
  </w:num>
  <w:num w:numId="12">
    <w:abstractNumId w:val="47"/>
  </w:num>
  <w:num w:numId="13">
    <w:abstractNumId w:val="8"/>
  </w:num>
  <w:num w:numId="14">
    <w:abstractNumId w:val="29"/>
  </w:num>
  <w:num w:numId="15">
    <w:abstractNumId w:val="13"/>
  </w:num>
  <w:num w:numId="16">
    <w:abstractNumId w:val="28"/>
  </w:num>
  <w:num w:numId="17">
    <w:abstractNumId w:val="24"/>
  </w:num>
  <w:num w:numId="18">
    <w:abstractNumId w:val="12"/>
  </w:num>
  <w:num w:numId="19">
    <w:abstractNumId w:val="19"/>
  </w:num>
  <w:num w:numId="20">
    <w:abstractNumId w:val="53"/>
  </w:num>
  <w:num w:numId="21">
    <w:abstractNumId w:val="20"/>
  </w:num>
  <w:num w:numId="22">
    <w:abstractNumId w:val="9"/>
  </w:num>
  <w:num w:numId="23">
    <w:abstractNumId w:val="25"/>
  </w:num>
  <w:num w:numId="24">
    <w:abstractNumId w:val="52"/>
  </w:num>
  <w:num w:numId="25">
    <w:abstractNumId w:val="15"/>
  </w:num>
  <w:num w:numId="26">
    <w:abstractNumId w:val="49"/>
  </w:num>
  <w:num w:numId="27">
    <w:abstractNumId w:val="45"/>
  </w:num>
  <w:num w:numId="28">
    <w:abstractNumId w:val="7"/>
  </w:num>
  <w:num w:numId="29">
    <w:abstractNumId w:val="44"/>
  </w:num>
  <w:num w:numId="30">
    <w:abstractNumId w:val="35"/>
  </w:num>
  <w:num w:numId="31">
    <w:abstractNumId w:val="37"/>
  </w:num>
  <w:num w:numId="32">
    <w:abstractNumId w:val="43"/>
  </w:num>
  <w:num w:numId="33">
    <w:abstractNumId w:val="46"/>
  </w:num>
  <w:num w:numId="34">
    <w:abstractNumId w:val="34"/>
  </w:num>
  <w:num w:numId="35">
    <w:abstractNumId w:val="11"/>
  </w:num>
  <w:num w:numId="36">
    <w:abstractNumId w:val="50"/>
  </w:num>
  <w:num w:numId="37">
    <w:abstractNumId w:val="27"/>
  </w:num>
  <w:num w:numId="38">
    <w:abstractNumId w:val="22"/>
  </w:num>
  <w:num w:numId="39">
    <w:abstractNumId w:val="48"/>
  </w:num>
  <w:num w:numId="40">
    <w:abstractNumId w:val="40"/>
  </w:num>
  <w:num w:numId="41">
    <w:abstractNumId w:val="21"/>
  </w:num>
  <w:num w:numId="42">
    <w:abstractNumId w:val="5"/>
  </w:num>
  <w:num w:numId="43">
    <w:abstractNumId w:val="42"/>
  </w:num>
  <w:num w:numId="44">
    <w:abstractNumId w:val="39"/>
  </w:num>
  <w:num w:numId="45">
    <w:abstractNumId w:val="17"/>
  </w:num>
  <w:num w:numId="46">
    <w:abstractNumId w:val="51"/>
  </w:num>
  <w:num w:numId="47">
    <w:abstractNumId w:val="23"/>
  </w:num>
  <w:num w:numId="48">
    <w:abstractNumId w:val="16"/>
  </w:num>
  <w:num w:numId="49">
    <w:abstractNumId w:val="31"/>
  </w:num>
  <w:num w:numId="50">
    <w:abstractNumId w:val="10"/>
  </w:num>
  <w:num w:numId="51">
    <w:abstractNumId w:val="4"/>
  </w:num>
  <w:num w:numId="52">
    <w:abstractNumId w:val="30"/>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2"/>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1EE"/>
    <w:rsid w:val="00016A39"/>
    <w:rsid w:val="0001710A"/>
    <w:rsid w:val="00017A84"/>
    <w:rsid w:val="000201D2"/>
    <w:rsid w:val="000208B8"/>
    <w:rsid w:val="00021D51"/>
    <w:rsid w:val="00021D63"/>
    <w:rsid w:val="00022373"/>
    <w:rsid w:val="00022DB1"/>
    <w:rsid w:val="00022F93"/>
    <w:rsid w:val="0002327A"/>
    <w:rsid w:val="000248F3"/>
    <w:rsid w:val="00024962"/>
    <w:rsid w:val="00024A1C"/>
    <w:rsid w:val="00024B7A"/>
    <w:rsid w:val="00024EFD"/>
    <w:rsid w:val="00025677"/>
    <w:rsid w:val="000270B3"/>
    <w:rsid w:val="000270B8"/>
    <w:rsid w:val="000270D0"/>
    <w:rsid w:val="000277CA"/>
    <w:rsid w:val="00031634"/>
    <w:rsid w:val="00031DCB"/>
    <w:rsid w:val="0003367A"/>
    <w:rsid w:val="00034102"/>
    <w:rsid w:val="000357CE"/>
    <w:rsid w:val="00035862"/>
    <w:rsid w:val="00035BFB"/>
    <w:rsid w:val="00035D33"/>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68F"/>
    <w:rsid w:val="00050A12"/>
    <w:rsid w:val="0005169F"/>
    <w:rsid w:val="00051DCF"/>
    <w:rsid w:val="00052130"/>
    <w:rsid w:val="00052396"/>
    <w:rsid w:val="00053880"/>
    <w:rsid w:val="00053ED9"/>
    <w:rsid w:val="00054546"/>
    <w:rsid w:val="00055A83"/>
    <w:rsid w:val="00055AF3"/>
    <w:rsid w:val="00055B44"/>
    <w:rsid w:val="00056D13"/>
    <w:rsid w:val="000573EF"/>
    <w:rsid w:val="000603C5"/>
    <w:rsid w:val="00061483"/>
    <w:rsid w:val="000630BC"/>
    <w:rsid w:val="00063744"/>
    <w:rsid w:val="00063E17"/>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0FB"/>
    <w:rsid w:val="000A3306"/>
    <w:rsid w:val="000A34CE"/>
    <w:rsid w:val="000A374D"/>
    <w:rsid w:val="000A3E82"/>
    <w:rsid w:val="000A40B8"/>
    <w:rsid w:val="000A4365"/>
    <w:rsid w:val="000A4FCF"/>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9EB"/>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526"/>
    <w:rsid w:val="000F1757"/>
    <w:rsid w:val="000F22D2"/>
    <w:rsid w:val="000F24F2"/>
    <w:rsid w:val="000F2992"/>
    <w:rsid w:val="000F3289"/>
    <w:rsid w:val="000F3E44"/>
    <w:rsid w:val="000F47AD"/>
    <w:rsid w:val="000F491C"/>
    <w:rsid w:val="000F4A8E"/>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2E68"/>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C97"/>
    <w:rsid w:val="00131DAC"/>
    <w:rsid w:val="00132519"/>
    <w:rsid w:val="00132A0B"/>
    <w:rsid w:val="001335DB"/>
    <w:rsid w:val="00133890"/>
    <w:rsid w:val="0013416A"/>
    <w:rsid w:val="00134AE6"/>
    <w:rsid w:val="001356B2"/>
    <w:rsid w:val="00135D8E"/>
    <w:rsid w:val="00136AD9"/>
    <w:rsid w:val="00136BD4"/>
    <w:rsid w:val="001376D4"/>
    <w:rsid w:val="001377C2"/>
    <w:rsid w:val="00137CC4"/>
    <w:rsid w:val="0014138F"/>
    <w:rsid w:val="0014198E"/>
    <w:rsid w:val="00141F3F"/>
    <w:rsid w:val="00142FF6"/>
    <w:rsid w:val="001438F1"/>
    <w:rsid w:val="00143A05"/>
    <w:rsid w:val="00143AF4"/>
    <w:rsid w:val="001441E0"/>
    <w:rsid w:val="00144621"/>
    <w:rsid w:val="0014475E"/>
    <w:rsid w:val="00144FA7"/>
    <w:rsid w:val="00145605"/>
    <w:rsid w:val="001464B3"/>
    <w:rsid w:val="001468B6"/>
    <w:rsid w:val="00146B63"/>
    <w:rsid w:val="00146F24"/>
    <w:rsid w:val="0014700F"/>
    <w:rsid w:val="00147BBA"/>
    <w:rsid w:val="0015094E"/>
    <w:rsid w:val="00151903"/>
    <w:rsid w:val="00151DE3"/>
    <w:rsid w:val="001533DD"/>
    <w:rsid w:val="00153856"/>
    <w:rsid w:val="001544D8"/>
    <w:rsid w:val="00154AB9"/>
    <w:rsid w:val="0015577F"/>
    <w:rsid w:val="001557B3"/>
    <w:rsid w:val="00156B57"/>
    <w:rsid w:val="0015724A"/>
    <w:rsid w:val="00157C5B"/>
    <w:rsid w:val="00160B7C"/>
    <w:rsid w:val="00160FA4"/>
    <w:rsid w:val="00160FE0"/>
    <w:rsid w:val="00161758"/>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4B67"/>
    <w:rsid w:val="00186457"/>
    <w:rsid w:val="001867CA"/>
    <w:rsid w:val="0018685C"/>
    <w:rsid w:val="00186F60"/>
    <w:rsid w:val="001871DA"/>
    <w:rsid w:val="00187229"/>
    <w:rsid w:val="0019007F"/>
    <w:rsid w:val="00190122"/>
    <w:rsid w:val="00190695"/>
    <w:rsid w:val="00190C62"/>
    <w:rsid w:val="00190E48"/>
    <w:rsid w:val="001911B7"/>
    <w:rsid w:val="001913DA"/>
    <w:rsid w:val="00191A70"/>
    <w:rsid w:val="001931C4"/>
    <w:rsid w:val="00193688"/>
    <w:rsid w:val="00193D1B"/>
    <w:rsid w:val="001941B9"/>
    <w:rsid w:val="001947CC"/>
    <w:rsid w:val="00194885"/>
    <w:rsid w:val="001955DD"/>
    <w:rsid w:val="001956C8"/>
    <w:rsid w:val="001964D7"/>
    <w:rsid w:val="00197976"/>
    <w:rsid w:val="001A02C9"/>
    <w:rsid w:val="001A1634"/>
    <w:rsid w:val="001A1CDA"/>
    <w:rsid w:val="001A20D0"/>
    <w:rsid w:val="001A2618"/>
    <w:rsid w:val="001A2C80"/>
    <w:rsid w:val="001A3FEA"/>
    <w:rsid w:val="001A5AFE"/>
    <w:rsid w:val="001A5DAF"/>
    <w:rsid w:val="001A5EBD"/>
    <w:rsid w:val="001A62EA"/>
    <w:rsid w:val="001A6C83"/>
    <w:rsid w:val="001A7C89"/>
    <w:rsid w:val="001B0EF9"/>
    <w:rsid w:val="001B1012"/>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2D1A"/>
    <w:rsid w:val="001C3ED5"/>
    <w:rsid w:val="001C574A"/>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5A5"/>
    <w:rsid w:val="001E2DCF"/>
    <w:rsid w:val="001E31C5"/>
    <w:rsid w:val="001E3EAB"/>
    <w:rsid w:val="001E42CC"/>
    <w:rsid w:val="001E4FDD"/>
    <w:rsid w:val="001E54D7"/>
    <w:rsid w:val="001E62C7"/>
    <w:rsid w:val="001E7F2D"/>
    <w:rsid w:val="001F20AD"/>
    <w:rsid w:val="001F2BA6"/>
    <w:rsid w:val="001F2FE0"/>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B1"/>
    <w:rsid w:val="002705DC"/>
    <w:rsid w:val="0027092B"/>
    <w:rsid w:val="002713A5"/>
    <w:rsid w:val="00271519"/>
    <w:rsid w:val="00272C6F"/>
    <w:rsid w:val="0027394E"/>
    <w:rsid w:val="00273C76"/>
    <w:rsid w:val="00273E33"/>
    <w:rsid w:val="002741EF"/>
    <w:rsid w:val="0027426B"/>
    <w:rsid w:val="00275290"/>
    <w:rsid w:val="00275435"/>
    <w:rsid w:val="00275A07"/>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5BD"/>
    <w:rsid w:val="002859A8"/>
    <w:rsid w:val="002859E3"/>
    <w:rsid w:val="002864A2"/>
    <w:rsid w:val="00286644"/>
    <w:rsid w:val="002872F2"/>
    <w:rsid w:val="00287535"/>
    <w:rsid w:val="002904B4"/>
    <w:rsid w:val="002908FA"/>
    <w:rsid w:val="00290A77"/>
    <w:rsid w:val="00290AF6"/>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97CF2"/>
    <w:rsid w:val="002A01AA"/>
    <w:rsid w:val="002A0631"/>
    <w:rsid w:val="002A08B3"/>
    <w:rsid w:val="002A0AE6"/>
    <w:rsid w:val="002A1667"/>
    <w:rsid w:val="002A1C0A"/>
    <w:rsid w:val="002A223D"/>
    <w:rsid w:val="002A23B4"/>
    <w:rsid w:val="002A28CB"/>
    <w:rsid w:val="002A2D0C"/>
    <w:rsid w:val="002A2EFA"/>
    <w:rsid w:val="002A40A2"/>
    <w:rsid w:val="002A40FF"/>
    <w:rsid w:val="002A432B"/>
    <w:rsid w:val="002A4FAE"/>
    <w:rsid w:val="002A52B1"/>
    <w:rsid w:val="002A5820"/>
    <w:rsid w:val="002A5924"/>
    <w:rsid w:val="002A5C03"/>
    <w:rsid w:val="002A6469"/>
    <w:rsid w:val="002A6A12"/>
    <w:rsid w:val="002A78C1"/>
    <w:rsid w:val="002B031D"/>
    <w:rsid w:val="002B1153"/>
    <w:rsid w:val="002B11EF"/>
    <w:rsid w:val="002B1E80"/>
    <w:rsid w:val="002B3499"/>
    <w:rsid w:val="002B3751"/>
    <w:rsid w:val="002B3CBA"/>
    <w:rsid w:val="002B46A8"/>
    <w:rsid w:val="002B5183"/>
    <w:rsid w:val="002B5608"/>
    <w:rsid w:val="002B6513"/>
    <w:rsid w:val="002B6809"/>
    <w:rsid w:val="002B74F2"/>
    <w:rsid w:val="002B7D50"/>
    <w:rsid w:val="002C03A1"/>
    <w:rsid w:val="002C0A31"/>
    <w:rsid w:val="002C197D"/>
    <w:rsid w:val="002C1A89"/>
    <w:rsid w:val="002C1E9A"/>
    <w:rsid w:val="002C28B3"/>
    <w:rsid w:val="002C2CE7"/>
    <w:rsid w:val="002C2EAF"/>
    <w:rsid w:val="002C3CEE"/>
    <w:rsid w:val="002C448B"/>
    <w:rsid w:val="002C4492"/>
    <w:rsid w:val="002C4DDE"/>
    <w:rsid w:val="002C5618"/>
    <w:rsid w:val="002C5BB1"/>
    <w:rsid w:val="002C623C"/>
    <w:rsid w:val="002C6268"/>
    <w:rsid w:val="002C6EA1"/>
    <w:rsid w:val="002C7144"/>
    <w:rsid w:val="002C72FD"/>
    <w:rsid w:val="002C7DDF"/>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D7F5D"/>
    <w:rsid w:val="002E1B45"/>
    <w:rsid w:val="002E1C33"/>
    <w:rsid w:val="002E1DCD"/>
    <w:rsid w:val="002E1F00"/>
    <w:rsid w:val="002E2748"/>
    <w:rsid w:val="002E2E55"/>
    <w:rsid w:val="002E317F"/>
    <w:rsid w:val="002E3E10"/>
    <w:rsid w:val="002E48B3"/>
    <w:rsid w:val="002E518E"/>
    <w:rsid w:val="002E5241"/>
    <w:rsid w:val="002E527A"/>
    <w:rsid w:val="002E5324"/>
    <w:rsid w:val="002E599D"/>
    <w:rsid w:val="002E5ED9"/>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7B5"/>
    <w:rsid w:val="00303976"/>
    <w:rsid w:val="00303AA9"/>
    <w:rsid w:val="00304B9C"/>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616"/>
    <w:rsid w:val="0033077B"/>
    <w:rsid w:val="00330864"/>
    <w:rsid w:val="003309D9"/>
    <w:rsid w:val="003325B7"/>
    <w:rsid w:val="0033268A"/>
    <w:rsid w:val="00333E0F"/>
    <w:rsid w:val="00335DAD"/>
    <w:rsid w:val="0034072F"/>
    <w:rsid w:val="00341087"/>
    <w:rsid w:val="00341397"/>
    <w:rsid w:val="00341A45"/>
    <w:rsid w:val="00342D60"/>
    <w:rsid w:val="003433F1"/>
    <w:rsid w:val="00343760"/>
    <w:rsid w:val="00343C16"/>
    <w:rsid w:val="003449A9"/>
    <w:rsid w:val="00345403"/>
    <w:rsid w:val="0034563E"/>
    <w:rsid w:val="00345809"/>
    <w:rsid w:val="0034692B"/>
    <w:rsid w:val="00347511"/>
    <w:rsid w:val="00347C82"/>
    <w:rsid w:val="003502BA"/>
    <w:rsid w:val="00350578"/>
    <w:rsid w:val="00350846"/>
    <w:rsid w:val="00350923"/>
    <w:rsid w:val="003513F4"/>
    <w:rsid w:val="00351502"/>
    <w:rsid w:val="003524EF"/>
    <w:rsid w:val="00352F07"/>
    <w:rsid w:val="0035329D"/>
    <w:rsid w:val="00353842"/>
    <w:rsid w:val="00353F49"/>
    <w:rsid w:val="00355556"/>
    <w:rsid w:val="0035586B"/>
    <w:rsid w:val="00356555"/>
    <w:rsid w:val="00356949"/>
    <w:rsid w:val="00356BF3"/>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2"/>
    <w:rsid w:val="00366C17"/>
    <w:rsid w:val="00367C70"/>
    <w:rsid w:val="00370858"/>
    <w:rsid w:val="0037125A"/>
    <w:rsid w:val="003716F7"/>
    <w:rsid w:val="00371870"/>
    <w:rsid w:val="003719DB"/>
    <w:rsid w:val="00371DD3"/>
    <w:rsid w:val="00372024"/>
    <w:rsid w:val="00372551"/>
    <w:rsid w:val="00372D73"/>
    <w:rsid w:val="003738CE"/>
    <w:rsid w:val="003766E9"/>
    <w:rsid w:val="00376787"/>
    <w:rsid w:val="00376D1A"/>
    <w:rsid w:val="00377C76"/>
    <w:rsid w:val="00377E77"/>
    <w:rsid w:val="00380739"/>
    <w:rsid w:val="00380EE8"/>
    <w:rsid w:val="003818F0"/>
    <w:rsid w:val="00383F02"/>
    <w:rsid w:val="0038424A"/>
    <w:rsid w:val="003842C3"/>
    <w:rsid w:val="00384829"/>
    <w:rsid w:val="0038556D"/>
    <w:rsid w:val="00387505"/>
    <w:rsid w:val="00390385"/>
    <w:rsid w:val="00392A6C"/>
    <w:rsid w:val="00392BCA"/>
    <w:rsid w:val="00392DBE"/>
    <w:rsid w:val="00393113"/>
    <w:rsid w:val="00393240"/>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1"/>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0F2"/>
    <w:rsid w:val="003B33FF"/>
    <w:rsid w:val="003B4013"/>
    <w:rsid w:val="003B421E"/>
    <w:rsid w:val="003B482A"/>
    <w:rsid w:val="003B4D63"/>
    <w:rsid w:val="003B57B5"/>
    <w:rsid w:val="003B5F47"/>
    <w:rsid w:val="003B66C9"/>
    <w:rsid w:val="003B79C8"/>
    <w:rsid w:val="003B7A1A"/>
    <w:rsid w:val="003B7BCE"/>
    <w:rsid w:val="003C0320"/>
    <w:rsid w:val="003C037F"/>
    <w:rsid w:val="003C11FB"/>
    <w:rsid w:val="003C15D2"/>
    <w:rsid w:val="003C17AF"/>
    <w:rsid w:val="003C1CED"/>
    <w:rsid w:val="003C22D3"/>
    <w:rsid w:val="003C2A18"/>
    <w:rsid w:val="003C2CC1"/>
    <w:rsid w:val="003C3F03"/>
    <w:rsid w:val="003C47CB"/>
    <w:rsid w:val="003C4B77"/>
    <w:rsid w:val="003C638F"/>
    <w:rsid w:val="003C68D5"/>
    <w:rsid w:val="003C7B3F"/>
    <w:rsid w:val="003C7EE8"/>
    <w:rsid w:val="003D1C2E"/>
    <w:rsid w:val="003D211F"/>
    <w:rsid w:val="003D251E"/>
    <w:rsid w:val="003D2A9C"/>
    <w:rsid w:val="003D33CA"/>
    <w:rsid w:val="003D4602"/>
    <w:rsid w:val="003D54A5"/>
    <w:rsid w:val="003D56F8"/>
    <w:rsid w:val="003D57AB"/>
    <w:rsid w:val="003D6015"/>
    <w:rsid w:val="003D7056"/>
    <w:rsid w:val="003D71CB"/>
    <w:rsid w:val="003D7871"/>
    <w:rsid w:val="003E014A"/>
    <w:rsid w:val="003E047C"/>
    <w:rsid w:val="003E06A5"/>
    <w:rsid w:val="003E0F33"/>
    <w:rsid w:val="003E1329"/>
    <w:rsid w:val="003E23FF"/>
    <w:rsid w:val="003E2608"/>
    <w:rsid w:val="003E278D"/>
    <w:rsid w:val="003E2CF1"/>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187F"/>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0AA"/>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5B"/>
    <w:rsid w:val="00463FB7"/>
    <w:rsid w:val="00464874"/>
    <w:rsid w:val="00464C81"/>
    <w:rsid w:val="004656B3"/>
    <w:rsid w:val="0046655D"/>
    <w:rsid w:val="00466931"/>
    <w:rsid w:val="00466DF9"/>
    <w:rsid w:val="00466F37"/>
    <w:rsid w:val="0046777D"/>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6748"/>
    <w:rsid w:val="00487D7E"/>
    <w:rsid w:val="00487FDB"/>
    <w:rsid w:val="00490318"/>
    <w:rsid w:val="00490A0B"/>
    <w:rsid w:val="0049194F"/>
    <w:rsid w:val="00491BE2"/>
    <w:rsid w:val="00491D1B"/>
    <w:rsid w:val="00491EA7"/>
    <w:rsid w:val="00491ECA"/>
    <w:rsid w:val="0049255C"/>
    <w:rsid w:val="00492945"/>
    <w:rsid w:val="00492B3A"/>
    <w:rsid w:val="00493570"/>
    <w:rsid w:val="00493AC7"/>
    <w:rsid w:val="00494B02"/>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3D1"/>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C76B2"/>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036"/>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581"/>
    <w:rsid w:val="005108AB"/>
    <w:rsid w:val="005111E0"/>
    <w:rsid w:val="00511AEE"/>
    <w:rsid w:val="00511DB0"/>
    <w:rsid w:val="00511E7D"/>
    <w:rsid w:val="00512424"/>
    <w:rsid w:val="00512732"/>
    <w:rsid w:val="00512977"/>
    <w:rsid w:val="00512FD5"/>
    <w:rsid w:val="005136C0"/>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73E"/>
    <w:rsid w:val="00551F9F"/>
    <w:rsid w:val="00552C61"/>
    <w:rsid w:val="0055484A"/>
    <w:rsid w:val="00554A22"/>
    <w:rsid w:val="005574CC"/>
    <w:rsid w:val="0055786A"/>
    <w:rsid w:val="00562139"/>
    <w:rsid w:val="00562722"/>
    <w:rsid w:val="00562A13"/>
    <w:rsid w:val="00562DAB"/>
    <w:rsid w:val="00562EFB"/>
    <w:rsid w:val="00563D82"/>
    <w:rsid w:val="0056474B"/>
    <w:rsid w:val="0056489D"/>
    <w:rsid w:val="00564F93"/>
    <w:rsid w:val="0056730F"/>
    <w:rsid w:val="005677C4"/>
    <w:rsid w:val="00570252"/>
    <w:rsid w:val="005705A1"/>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29F"/>
    <w:rsid w:val="005817CA"/>
    <w:rsid w:val="00581874"/>
    <w:rsid w:val="005820D1"/>
    <w:rsid w:val="00582EF3"/>
    <w:rsid w:val="0058394E"/>
    <w:rsid w:val="005843A2"/>
    <w:rsid w:val="0058454C"/>
    <w:rsid w:val="005846BD"/>
    <w:rsid w:val="005849DD"/>
    <w:rsid w:val="00584B61"/>
    <w:rsid w:val="00585640"/>
    <w:rsid w:val="005870F9"/>
    <w:rsid w:val="005900CB"/>
    <w:rsid w:val="00591B2B"/>
    <w:rsid w:val="00591B7D"/>
    <w:rsid w:val="005921E0"/>
    <w:rsid w:val="0059304C"/>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53"/>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1498"/>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3BE6"/>
    <w:rsid w:val="005D3F74"/>
    <w:rsid w:val="005D499E"/>
    <w:rsid w:val="005D5757"/>
    <w:rsid w:val="005D6B11"/>
    <w:rsid w:val="005D6BC1"/>
    <w:rsid w:val="005D7503"/>
    <w:rsid w:val="005E0B25"/>
    <w:rsid w:val="005E0C75"/>
    <w:rsid w:val="005E0F3C"/>
    <w:rsid w:val="005E0FC6"/>
    <w:rsid w:val="005E1118"/>
    <w:rsid w:val="005E17E4"/>
    <w:rsid w:val="005E1819"/>
    <w:rsid w:val="005E21CA"/>
    <w:rsid w:val="005E226C"/>
    <w:rsid w:val="005E22EB"/>
    <w:rsid w:val="005E2349"/>
    <w:rsid w:val="005E239F"/>
    <w:rsid w:val="005E2EF3"/>
    <w:rsid w:val="005E362B"/>
    <w:rsid w:val="005E3792"/>
    <w:rsid w:val="005E39DF"/>
    <w:rsid w:val="005E3E17"/>
    <w:rsid w:val="005E424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3FA4"/>
    <w:rsid w:val="006240C0"/>
    <w:rsid w:val="006246C7"/>
    <w:rsid w:val="00627332"/>
    <w:rsid w:val="0062736B"/>
    <w:rsid w:val="006273AC"/>
    <w:rsid w:val="006274AC"/>
    <w:rsid w:val="00627927"/>
    <w:rsid w:val="00630159"/>
    <w:rsid w:val="00630A50"/>
    <w:rsid w:val="006312C6"/>
    <w:rsid w:val="00632971"/>
    <w:rsid w:val="00632EF6"/>
    <w:rsid w:val="00633989"/>
    <w:rsid w:val="00633A97"/>
    <w:rsid w:val="00634089"/>
    <w:rsid w:val="006342EF"/>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146"/>
    <w:rsid w:val="00661A95"/>
    <w:rsid w:val="00662197"/>
    <w:rsid w:val="006633C9"/>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76FFD"/>
    <w:rsid w:val="0068078C"/>
    <w:rsid w:val="006820A1"/>
    <w:rsid w:val="00682778"/>
    <w:rsid w:val="00682FAB"/>
    <w:rsid w:val="0068331A"/>
    <w:rsid w:val="0068381E"/>
    <w:rsid w:val="00683B72"/>
    <w:rsid w:val="00683EF9"/>
    <w:rsid w:val="00683F8C"/>
    <w:rsid w:val="00685111"/>
    <w:rsid w:val="00685702"/>
    <w:rsid w:val="0068578D"/>
    <w:rsid w:val="00685C40"/>
    <w:rsid w:val="00685D13"/>
    <w:rsid w:val="006861F6"/>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1B9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09C"/>
    <w:rsid w:val="006C6147"/>
    <w:rsid w:val="006C623E"/>
    <w:rsid w:val="006C6241"/>
    <w:rsid w:val="006C6E2A"/>
    <w:rsid w:val="006D1F59"/>
    <w:rsid w:val="006D2381"/>
    <w:rsid w:val="006D3061"/>
    <w:rsid w:val="006D4BC4"/>
    <w:rsid w:val="006D5007"/>
    <w:rsid w:val="006D529E"/>
    <w:rsid w:val="006D532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6CEB"/>
    <w:rsid w:val="006E7A10"/>
    <w:rsid w:val="006E7DAE"/>
    <w:rsid w:val="006F0A37"/>
    <w:rsid w:val="006F1E0A"/>
    <w:rsid w:val="006F2139"/>
    <w:rsid w:val="006F2B32"/>
    <w:rsid w:val="006F3C2B"/>
    <w:rsid w:val="006F48B6"/>
    <w:rsid w:val="006F50B3"/>
    <w:rsid w:val="006F53CF"/>
    <w:rsid w:val="006F64A4"/>
    <w:rsid w:val="006F66BD"/>
    <w:rsid w:val="006F6D7A"/>
    <w:rsid w:val="006F747E"/>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230"/>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CAA"/>
    <w:rsid w:val="00731D0D"/>
    <w:rsid w:val="00731D72"/>
    <w:rsid w:val="00731EC2"/>
    <w:rsid w:val="0073211C"/>
    <w:rsid w:val="00732A44"/>
    <w:rsid w:val="00732AB4"/>
    <w:rsid w:val="00733356"/>
    <w:rsid w:val="007335FC"/>
    <w:rsid w:val="00733CA7"/>
    <w:rsid w:val="00735376"/>
    <w:rsid w:val="00735E2E"/>
    <w:rsid w:val="007361FA"/>
    <w:rsid w:val="0073652A"/>
    <w:rsid w:val="00736B78"/>
    <w:rsid w:val="00736CC4"/>
    <w:rsid w:val="007407C2"/>
    <w:rsid w:val="00741CAD"/>
    <w:rsid w:val="00741F62"/>
    <w:rsid w:val="00742147"/>
    <w:rsid w:val="00742367"/>
    <w:rsid w:val="007439E6"/>
    <w:rsid w:val="007440F0"/>
    <w:rsid w:val="007452D4"/>
    <w:rsid w:val="00746212"/>
    <w:rsid w:val="0074631A"/>
    <w:rsid w:val="00746632"/>
    <w:rsid w:val="007468E1"/>
    <w:rsid w:val="00746B83"/>
    <w:rsid w:val="00746BEB"/>
    <w:rsid w:val="00747566"/>
    <w:rsid w:val="00747A43"/>
    <w:rsid w:val="00750849"/>
    <w:rsid w:val="00750A0D"/>
    <w:rsid w:val="00750DBC"/>
    <w:rsid w:val="00750FA7"/>
    <w:rsid w:val="00751FA5"/>
    <w:rsid w:val="00752EF6"/>
    <w:rsid w:val="00753626"/>
    <w:rsid w:val="00754072"/>
    <w:rsid w:val="007540C0"/>
    <w:rsid w:val="00754673"/>
    <w:rsid w:val="007546FC"/>
    <w:rsid w:val="00755093"/>
    <w:rsid w:val="0075534D"/>
    <w:rsid w:val="007553EC"/>
    <w:rsid w:val="00755FE0"/>
    <w:rsid w:val="00756956"/>
    <w:rsid w:val="00756C50"/>
    <w:rsid w:val="00756C81"/>
    <w:rsid w:val="007575AC"/>
    <w:rsid w:val="0076002D"/>
    <w:rsid w:val="00760C76"/>
    <w:rsid w:val="00761344"/>
    <w:rsid w:val="00761EE3"/>
    <w:rsid w:val="007622E2"/>
    <w:rsid w:val="00762A0E"/>
    <w:rsid w:val="00763187"/>
    <w:rsid w:val="007641A7"/>
    <w:rsid w:val="007649DF"/>
    <w:rsid w:val="007653BD"/>
    <w:rsid w:val="00765CE2"/>
    <w:rsid w:val="007660AF"/>
    <w:rsid w:val="00767E53"/>
    <w:rsid w:val="00767EC8"/>
    <w:rsid w:val="0077034F"/>
    <w:rsid w:val="00770422"/>
    <w:rsid w:val="00771447"/>
    <w:rsid w:val="00771F32"/>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1F59"/>
    <w:rsid w:val="00782832"/>
    <w:rsid w:val="00782BB5"/>
    <w:rsid w:val="00782C95"/>
    <w:rsid w:val="00783137"/>
    <w:rsid w:val="007837D7"/>
    <w:rsid w:val="007839D8"/>
    <w:rsid w:val="00783C6E"/>
    <w:rsid w:val="00783EA4"/>
    <w:rsid w:val="00784142"/>
    <w:rsid w:val="00784433"/>
    <w:rsid w:val="00785015"/>
    <w:rsid w:val="00787664"/>
    <w:rsid w:val="00787DCB"/>
    <w:rsid w:val="007902D9"/>
    <w:rsid w:val="0079077A"/>
    <w:rsid w:val="0079088D"/>
    <w:rsid w:val="00791423"/>
    <w:rsid w:val="007920AA"/>
    <w:rsid w:val="0079291B"/>
    <w:rsid w:val="00792F98"/>
    <w:rsid w:val="00793DB5"/>
    <w:rsid w:val="00794137"/>
    <w:rsid w:val="00795178"/>
    <w:rsid w:val="0079527E"/>
    <w:rsid w:val="00795760"/>
    <w:rsid w:val="00795C19"/>
    <w:rsid w:val="00796311"/>
    <w:rsid w:val="0079696F"/>
    <w:rsid w:val="007A0DE1"/>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28A2"/>
    <w:rsid w:val="007B4963"/>
    <w:rsid w:val="007B4F79"/>
    <w:rsid w:val="007B5440"/>
    <w:rsid w:val="007B595C"/>
    <w:rsid w:val="007B5DE1"/>
    <w:rsid w:val="007B685F"/>
    <w:rsid w:val="007B6A69"/>
    <w:rsid w:val="007B6C59"/>
    <w:rsid w:val="007B6F82"/>
    <w:rsid w:val="007B77AF"/>
    <w:rsid w:val="007B78F2"/>
    <w:rsid w:val="007B7DF9"/>
    <w:rsid w:val="007C1B51"/>
    <w:rsid w:val="007C35E9"/>
    <w:rsid w:val="007C56E4"/>
    <w:rsid w:val="007C5F5C"/>
    <w:rsid w:val="007C6E22"/>
    <w:rsid w:val="007C7973"/>
    <w:rsid w:val="007C7DCE"/>
    <w:rsid w:val="007D0449"/>
    <w:rsid w:val="007D0600"/>
    <w:rsid w:val="007D0832"/>
    <w:rsid w:val="007D1B7A"/>
    <w:rsid w:val="007D205A"/>
    <w:rsid w:val="007D2204"/>
    <w:rsid w:val="007D2424"/>
    <w:rsid w:val="007D2C93"/>
    <w:rsid w:val="007D3400"/>
    <w:rsid w:val="007D3B6A"/>
    <w:rsid w:val="007D4A4C"/>
    <w:rsid w:val="007D4B58"/>
    <w:rsid w:val="007D6311"/>
    <w:rsid w:val="007D76D3"/>
    <w:rsid w:val="007E127F"/>
    <w:rsid w:val="007E25AD"/>
    <w:rsid w:val="007E27D3"/>
    <w:rsid w:val="007E4BBB"/>
    <w:rsid w:val="007E54FC"/>
    <w:rsid w:val="007E5991"/>
    <w:rsid w:val="007E59D4"/>
    <w:rsid w:val="007E5C80"/>
    <w:rsid w:val="007E68C0"/>
    <w:rsid w:val="007E6E0A"/>
    <w:rsid w:val="007E7A2F"/>
    <w:rsid w:val="007F059F"/>
    <w:rsid w:val="007F0A72"/>
    <w:rsid w:val="007F1246"/>
    <w:rsid w:val="007F1B4E"/>
    <w:rsid w:val="007F2A09"/>
    <w:rsid w:val="007F2F06"/>
    <w:rsid w:val="007F37B9"/>
    <w:rsid w:val="007F3BE4"/>
    <w:rsid w:val="007F4718"/>
    <w:rsid w:val="007F51AD"/>
    <w:rsid w:val="007F5655"/>
    <w:rsid w:val="007F59FE"/>
    <w:rsid w:val="007F5CEB"/>
    <w:rsid w:val="007F6E93"/>
    <w:rsid w:val="007F742F"/>
    <w:rsid w:val="007F7763"/>
    <w:rsid w:val="007F7A14"/>
    <w:rsid w:val="0080121E"/>
    <w:rsid w:val="008012D8"/>
    <w:rsid w:val="00801FCB"/>
    <w:rsid w:val="008030C0"/>
    <w:rsid w:val="00803E78"/>
    <w:rsid w:val="0080406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7D5"/>
    <w:rsid w:val="00825B0D"/>
    <w:rsid w:val="00827184"/>
    <w:rsid w:val="00827A3E"/>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4E52"/>
    <w:rsid w:val="008550F6"/>
    <w:rsid w:val="00855473"/>
    <w:rsid w:val="00855551"/>
    <w:rsid w:val="00855BE2"/>
    <w:rsid w:val="00857C2F"/>
    <w:rsid w:val="00857E2E"/>
    <w:rsid w:val="008611AF"/>
    <w:rsid w:val="008611F0"/>
    <w:rsid w:val="0086139B"/>
    <w:rsid w:val="008618EE"/>
    <w:rsid w:val="00861D15"/>
    <w:rsid w:val="00862040"/>
    <w:rsid w:val="008621D5"/>
    <w:rsid w:val="00862B4F"/>
    <w:rsid w:val="0086398F"/>
    <w:rsid w:val="00864980"/>
    <w:rsid w:val="00865E30"/>
    <w:rsid w:val="00866F3E"/>
    <w:rsid w:val="00866F66"/>
    <w:rsid w:val="00867453"/>
    <w:rsid w:val="0086754C"/>
    <w:rsid w:val="008677F3"/>
    <w:rsid w:val="00867D0B"/>
    <w:rsid w:val="0087064C"/>
    <w:rsid w:val="00870D6E"/>
    <w:rsid w:val="00870F12"/>
    <w:rsid w:val="00871162"/>
    <w:rsid w:val="00871766"/>
    <w:rsid w:val="00872528"/>
    <w:rsid w:val="008731DC"/>
    <w:rsid w:val="00873780"/>
    <w:rsid w:val="00873C01"/>
    <w:rsid w:val="00873F6C"/>
    <w:rsid w:val="00873FF8"/>
    <w:rsid w:val="00874BB4"/>
    <w:rsid w:val="008750DD"/>
    <w:rsid w:val="0087514B"/>
    <w:rsid w:val="00876148"/>
    <w:rsid w:val="008764FE"/>
    <w:rsid w:val="00876889"/>
    <w:rsid w:val="00876E96"/>
    <w:rsid w:val="008777E9"/>
    <w:rsid w:val="00877AB3"/>
    <w:rsid w:val="00877B70"/>
    <w:rsid w:val="0088058E"/>
    <w:rsid w:val="008810CF"/>
    <w:rsid w:val="00883136"/>
    <w:rsid w:val="00883166"/>
    <w:rsid w:val="00884885"/>
    <w:rsid w:val="00884B66"/>
    <w:rsid w:val="00884DB4"/>
    <w:rsid w:val="00884E0C"/>
    <w:rsid w:val="00884F8F"/>
    <w:rsid w:val="008863AC"/>
    <w:rsid w:val="00887120"/>
    <w:rsid w:val="00887271"/>
    <w:rsid w:val="008877AB"/>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3B55"/>
    <w:rsid w:val="008A4AD1"/>
    <w:rsid w:val="008A54A5"/>
    <w:rsid w:val="008A5A0A"/>
    <w:rsid w:val="008A7669"/>
    <w:rsid w:val="008B1A08"/>
    <w:rsid w:val="008B1DFF"/>
    <w:rsid w:val="008B1F50"/>
    <w:rsid w:val="008B233D"/>
    <w:rsid w:val="008B26C7"/>
    <w:rsid w:val="008B4CE4"/>
    <w:rsid w:val="008B4E71"/>
    <w:rsid w:val="008B5670"/>
    <w:rsid w:val="008B5B26"/>
    <w:rsid w:val="008B5DC0"/>
    <w:rsid w:val="008C011D"/>
    <w:rsid w:val="008C014B"/>
    <w:rsid w:val="008C0653"/>
    <w:rsid w:val="008C10A3"/>
    <w:rsid w:val="008C116D"/>
    <w:rsid w:val="008C1184"/>
    <w:rsid w:val="008C1249"/>
    <w:rsid w:val="008C15BA"/>
    <w:rsid w:val="008C271A"/>
    <w:rsid w:val="008C2B3E"/>
    <w:rsid w:val="008C2F00"/>
    <w:rsid w:val="008C3C34"/>
    <w:rsid w:val="008C3E79"/>
    <w:rsid w:val="008C40B8"/>
    <w:rsid w:val="008C4AB3"/>
    <w:rsid w:val="008C5FD8"/>
    <w:rsid w:val="008C6499"/>
    <w:rsid w:val="008C6F3B"/>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5B59"/>
    <w:rsid w:val="008E72E0"/>
    <w:rsid w:val="008F0343"/>
    <w:rsid w:val="008F0800"/>
    <w:rsid w:val="008F2383"/>
    <w:rsid w:val="008F30EB"/>
    <w:rsid w:val="008F31FA"/>
    <w:rsid w:val="008F4AFA"/>
    <w:rsid w:val="008F52CD"/>
    <w:rsid w:val="008F5C0C"/>
    <w:rsid w:val="008F5F96"/>
    <w:rsid w:val="008F6158"/>
    <w:rsid w:val="008F62B8"/>
    <w:rsid w:val="008F663C"/>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6B60"/>
    <w:rsid w:val="00917B3D"/>
    <w:rsid w:val="00917C3E"/>
    <w:rsid w:val="00917C92"/>
    <w:rsid w:val="009207EE"/>
    <w:rsid w:val="0092115A"/>
    <w:rsid w:val="00921F7E"/>
    <w:rsid w:val="009226C9"/>
    <w:rsid w:val="009240B1"/>
    <w:rsid w:val="0092462C"/>
    <w:rsid w:val="00924833"/>
    <w:rsid w:val="00924D80"/>
    <w:rsid w:val="00924D9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448"/>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4DE"/>
    <w:rsid w:val="00952E9D"/>
    <w:rsid w:val="00953071"/>
    <w:rsid w:val="00953891"/>
    <w:rsid w:val="00953B70"/>
    <w:rsid w:val="009546AF"/>
    <w:rsid w:val="0095554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6E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1767"/>
    <w:rsid w:val="009A23E8"/>
    <w:rsid w:val="009A30EA"/>
    <w:rsid w:val="009A3B41"/>
    <w:rsid w:val="009A3B7E"/>
    <w:rsid w:val="009A4A17"/>
    <w:rsid w:val="009A4C28"/>
    <w:rsid w:val="009A4D58"/>
    <w:rsid w:val="009A5155"/>
    <w:rsid w:val="009A5600"/>
    <w:rsid w:val="009A5C0E"/>
    <w:rsid w:val="009A5E52"/>
    <w:rsid w:val="009A708F"/>
    <w:rsid w:val="009A74FD"/>
    <w:rsid w:val="009B0411"/>
    <w:rsid w:val="009B22BB"/>
    <w:rsid w:val="009B2CB8"/>
    <w:rsid w:val="009B3624"/>
    <w:rsid w:val="009B422A"/>
    <w:rsid w:val="009B4882"/>
    <w:rsid w:val="009B4905"/>
    <w:rsid w:val="009B4D4A"/>
    <w:rsid w:val="009B55E9"/>
    <w:rsid w:val="009B6980"/>
    <w:rsid w:val="009B747D"/>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5A5B"/>
    <w:rsid w:val="009D692C"/>
    <w:rsid w:val="009D6B28"/>
    <w:rsid w:val="009D6C38"/>
    <w:rsid w:val="009D6C3C"/>
    <w:rsid w:val="009D6DCE"/>
    <w:rsid w:val="009E026B"/>
    <w:rsid w:val="009E097F"/>
    <w:rsid w:val="009E0C45"/>
    <w:rsid w:val="009E1191"/>
    <w:rsid w:val="009E11A1"/>
    <w:rsid w:val="009E22BA"/>
    <w:rsid w:val="009E297D"/>
    <w:rsid w:val="009E29D0"/>
    <w:rsid w:val="009E36CB"/>
    <w:rsid w:val="009E392D"/>
    <w:rsid w:val="009E528A"/>
    <w:rsid w:val="009E63CF"/>
    <w:rsid w:val="009E7028"/>
    <w:rsid w:val="009E711E"/>
    <w:rsid w:val="009E7ACA"/>
    <w:rsid w:val="009F0204"/>
    <w:rsid w:val="009F0633"/>
    <w:rsid w:val="009F080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5E36"/>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0C5"/>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13EC"/>
    <w:rsid w:val="00A42D7D"/>
    <w:rsid w:val="00A43372"/>
    <w:rsid w:val="00A44A0E"/>
    <w:rsid w:val="00A44B3E"/>
    <w:rsid w:val="00A44C19"/>
    <w:rsid w:val="00A44E8C"/>
    <w:rsid w:val="00A44E9C"/>
    <w:rsid w:val="00A45028"/>
    <w:rsid w:val="00A452B6"/>
    <w:rsid w:val="00A453B3"/>
    <w:rsid w:val="00A462D4"/>
    <w:rsid w:val="00A4658A"/>
    <w:rsid w:val="00A46600"/>
    <w:rsid w:val="00A46982"/>
    <w:rsid w:val="00A46B7B"/>
    <w:rsid w:val="00A46E05"/>
    <w:rsid w:val="00A47DCB"/>
    <w:rsid w:val="00A50A21"/>
    <w:rsid w:val="00A512EE"/>
    <w:rsid w:val="00A515E7"/>
    <w:rsid w:val="00A51602"/>
    <w:rsid w:val="00A52061"/>
    <w:rsid w:val="00A52B60"/>
    <w:rsid w:val="00A52B6C"/>
    <w:rsid w:val="00A534AB"/>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3CED"/>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4C6B"/>
    <w:rsid w:val="00A95263"/>
    <w:rsid w:val="00A966E0"/>
    <w:rsid w:val="00A969C4"/>
    <w:rsid w:val="00A97512"/>
    <w:rsid w:val="00A97CA8"/>
    <w:rsid w:val="00A97CB1"/>
    <w:rsid w:val="00A97E86"/>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776"/>
    <w:rsid w:val="00AC2EA1"/>
    <w:rsid w:val="00AC3B04"/>
    <w:rsid w:val="00AC3E78"/>
    <w:rsid w:val="00AC43CD"/>
    <w:rsid w:val="00AC45EB"/>
    <w:rsid w:val="00AC4CE9"/>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D7CE2"/>
    <w:rsid w:val="00AE0816"/>
    <w:rsid w:val="00AE0C88"/>
    <w:rsid w:val="00AE2819"/>
    <w:rsid w:val="00AE3309"/>
    <w:rsid w:val="00AE4C13"/>
    <w:rsid w:val="00AE5509"/>
    <w:rsid w:val="00AE5623"/>
    <w:rsid w:val="00AE5EAE"/>
    <w:rsid w:val="00AE5FA0"/>
    <w:rsid w:val="00AE67CF"/>
    <w:rsid w:val="00AE73FA"/>
    <w:rsid w:val="00AE75E7"/>
    <w:rsid w:val="00AE7859"/>
    <w:rsid w:val="00AE7D9D"/>
    <w:rsid w:val="00AE7FAC"/>
    <w:rsid w:val="00AF1E85"/>
    <w:rsid w:val="00AF201D"/>
    <w:rsid w:val="00AF224F"/>
    <w:rsid w:val="00AF2484"/>
    <w:rsid w:val="00AF25AB"/>
    <w:rsid w:val="00AF26DB"/>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34B"/>
    <w:rsid w:val="00B11CB1"/>
    <w:rsid w:val="00B11EA3"/>
    <w:rsid w:val="00B123AD"/>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757"/>
    <w:rsid w:val="00B25A63"/>
    <w:rsid w:val="00B25AAC"/>
    <w:rsid w:val="00B276D7"/>
    <w:rsid w:val="00B27CA0"/>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1309"/>
    <w:rsid w:val="00B52252"/>
    <w:rsid w:val="00B528C3"/>
    <w:rsid w:val="00B52AB2"/>
    <w:rsid w:val="00B532D8"/>
    <w:rsid w:val="00B5378C"/>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54C7"/>
    <w:rsid w:val="00BA5C2C"/>
    <w:rsid w:val="00BA63CD"/>
    <w:rsid w:val="00BA6BE0"/>
    <w:rsid w:val="00BA6E85"/>
    <w:rsid w:val="00BA77AC"/>
    <w:rsid w:val="00BA7806"/>
    <w:rsid w:val="00BB0148"/>
    <w:rsid w:val="00BB016A"/>
    <w:rsid w:val="00BB031B"/>
    <w:rsid w:val="00BB051A"/>
    <w:rsid w:val="00BB10F8"/>
    <w:rsid w:val="00BB19C0"/>
    <w:rsid w:val="00BB22B0"/>
    <w:rsid w:val="00BB25EF"/>
    <w:rsid w:val="00BB27E4"/>
    <w:rsid w:val="00BB33E4"/>
    <w:rsid w:val="00BB384C"/>
    <w:rsid w:val="00BB3951"/>
    <w:rsid w:val="00BB3C69"/>
    <w:rsid w:val="00BB4187"/>
    <w:rsid w:val="00BB44D8"/>
    <w:rsid w:val="00BB4B37"/>
    <w:rsid w:val="00BB4BDC"/>
    <w:rsid w:val="00BB4E7A"/>
    <w:rsid w:val="00BB52FD"/>
    <w:rsid w:val="00BB547A"/>
    <w:rsid w:val="00BB5CCC"/>
    <w:rsid w:val="00BB635E"/>
    <w:rsid w:val="00BB66A3"/>
    <w:rsid w:val="00BB670B"/>
    <w:rsid w:val="00BB678A"/>
    <w:rsid w:val="00BB704B"/>
    <w:rsid w:val="00BB7305"/>
    <w:rsid w:val="00BC029F"/>
    <w:rsid w:val="00BC08CB"/>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7CC"/>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34D1"/>
    <w:rsid w:val="00C16B94"/>
    <w:rsid w:val="00C16E99"/>
    <w:rsid w:val="00C17438"/>
    <w:rsid w:val="00C17E68"/>
    <w:rsid w:val="00C202E6"/>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8A9"/>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7A7"/>
    <w:rsid w:val="00C6499D"/>
    <w:rsid w:val="00C64A9B"/>
    <w:rsid w:val="00C653A4"/>
    <w:rsid w:val="00C6545E"/>
    <w:rsid w:val="00C65BD3"/>
    <w:rsid w:val="00C65F53"/>
    <w:rsid w:val="00C66684"/>
    <w:rsid w:val="00C67A2E"/>
    <w:rsid w:val="00C704ED"/>
    <w:rsid w:val="00C70607"/>
    <w:rsid w:val="00C70F68"/>
    <w:rsid w:val="00C7160F"/>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53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33"/>
    <w:rsid w:val="00C97B4D"/>
    <w:rsid w:val="00CA0046"/>
    <w:rsid w:val="00CA0FE8"/>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280"/>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5B7D"/>
    <w:rsid w:val="00CD67FC"/>
    <w:rsid w:val="00CD6EA2"/>
    <w:rsid w:val="00CD77B8"/>
    <w:rsid w:val="00CE0948"/>
    <w:rsid w:val="00CE0B17"/>
    <w:rsid w:val="00CE1196"/>
    <w:rsid w:val="00CE1418"/>
    <w:rsid w:val="00CE17DD"/>
    <w:rsid w:val="00CE1931"/>
    <w:rsid w:val="00CE1DC3"/>
    <w:rsid w:val="00CE2170"/>
    <w:rsid w:val="00CE36BE"/>
    <w:rsid w:val="00CE41CC"/>
    <w:rsid w:val="00CE4731"/>
    <w:rsid w:val="00CE5099"/>
    <w:rsid w:val="00CE5974"/>
    <w:rsid w:val="00CE5CF3"/>
    <w:rsid w:val="00CE61A5"/>
    <w:rsid w:val="00CE671E"/>
    <w:rsid w:val="00CF07A5"/>
    <w:rsid w:val="00CF0A67"/>
    <w:rsid w:val="00CF1A81"/>
    <w:rsid w:val="00CF1E31"/>
    <w:rsid w:val="00CF21B7"/>
    <w:rsid w:val="00CF2F07"/>
    <w:rsid w:val="00CF4885"/>
    <w:rsid w:val="00CF5FBF"/>
    <w:rsid w:val="00CF62F4"/>
    <w:rsid w:val="00CF67E9"/>
    <w:rsid w:val="00CF6A07"/>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47"/>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825"/>
    <w:rsid w:val="00D35CC8"/>
    <w:rsid w:val="00D363DD"/>
    <w:rsid w:val="00D368C3"/>
    <w:rsid w:val="00D36E42"/>
    <w:rsid w:val="00D3737E"/>
    <w:rsid w:val="00D37EB3"/>
    <w:rsid w:val="00D40D65"/>
    <w:rsid w:val="00D40EC7"/>
    <w:rsid w:val="00D41844"/>
    <w:rsid w:val="00D41B55"/>
    <w:rsid w:val="00D41F78"/>
    <w:rsid w:val="00D42BB0"/>
    <w:rsid w:val="00D434B4"/>
    <w:rsid w:val="00D43F5B"/>
    <w:rsid w:val="00D4441E"/>
    <w:rsid w:val="00D44726"/>
    <w:rsid w:val="00D45459"/>
    <w:rsid w:val="00D47182"/>
    <w:rsid w:val="00D474EB"/>
    <w:rsid w:val="00D47D80"/>
    <w:rsid w:val="00D50258"/>
    <w:rsid w:val="00D50CA3"/>
    <w:rsid w:val="00D51142"/>
    <w:rsid w:val="00D519F5"/>
    <w:rsid w:val="00D52324"/>
    <w:rsid w:val="00D525CE"/>
    <w:rsid w:val="00D53242"/>
    <w:rsid w:val="00D533DD"/>
    <w:rsid w:val="00D54DAB"/>
    <w:rsid w:val="00D54FE5"/>
    <w:rsid w:val="00D55022"/>
    <w:rsid w:val="00D5567C"/>
    <w:rsid w:val="00D558F1"/>
    <w:rsid w:val="00D56C76"/>
    <w:rsid w:val="00D57544"/>
    <w:rsid w:val="00D578AD"/>
    <w:rsid w:val="00D604F6"/>
    <w:rsid w:val="00D606FC"/>
    <w:rsid w:val="00D60EE1"/>
    <w:rsid w:val="00D610A9"/>
    <w:rsid w:val="00D61560"/>
    <w:rsid w:val="00D6229E"/>
    <w:rsid w:val="00D63E5D"/>
    <w:rsid w:val="00D63EAE"/>
    <w:rsid w:val="00D649DC"/>
    <w:rsid w:val="00D6561C"/>
    <w:rsid w:val="00D66A87"/>
    <w:rsid w:val="00D674B9"/>
    <w:rsid w:val="00D6773D"/>
    <w:rsid w:val="00D6773E"/>
    <w:rsid w:val="00D72A99"/>
    <w:rsid w:val="00D743C9"/>
    <w:rsid w:val="00D7457E"/>
    <w:rsid w:val="00D749E3"/>
    <w:rsid w:val="00D74B45"/>
    <w:rsid w:val="00D7572F"/>
    <w:rsid w:val="00D759C9"/>
    <w:rsid w:val="00D75D40"/>
    <w:rsid w:val="00D76ABE"/>
    <w:rsid w:val="00D76D40"/>
    <w:rsid w:val="00D76EA8"/>
    <w:rsid w:val="00D77636"/>
    <w:rsid w:val="00D778A2"/>
    <w:rsid w:val="00D77CE7"/>
    <w:rsid w:val="00D80453"/>
    <w:rsid w:val="00D8046B"/>
    <w:rsid w:val="00D80A19"/>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15F"/>
    <w:rsid w:val="00DB1689"/>
    <w:rsid w:val="00DB210F"/>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5002"/>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2A75"/>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4A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1DE"/>
    <w:rsid w:val="00E42835"/>
    <w:rsid w:val="00E42CDE"/>
    <w:rsid w:val="00E43269"/>
    <w:rsid w:val="00E452FB"/>
    <w:rsid w:val="00E456B3"/>
    <w:rsid w:val="00E45905"/>
    <w:rsid w:val="00E46100"/>
    <w:rsid w:val="00E465D0"/>
    <w:rsid w:val="00E47CB7"/>
    <w:rsid w:val="00E5098D"/>
    <w:rsid w:val="00E50EA1"/>
    <w:rsid w:val="00E51305"/>
    <w:rsid w:val="00E5144F"/>
    <w:rsid w:val="00E52B72"/>
    <w:rsid w:val="00E5362D"/>
    <w:rsid w:val="00E53E45"/>
    <w:rsid w:val="00E53EEC"/>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312"/>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3F6"/>
    <w:rsid w:val="00E85D20"/>
    <w:rsid w:val="00E8615B"/>
    <w:rsid w:val="00E86371"/>
    <w:rsid w:val="00E87C55"/>
    <w:rsid w:val="00E90646"/>
    <w:rsid w:val="00E9192E"/>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4A5B"/>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C6EB6"/>
    <w:rsid w:val="00ED03F2"/>
    <w:rsid w:val="00ED059B"/>
    <w:rsid w:val="00ED1BA5"/>
    <w:rsid w:val="00ED1C35"/>
    <w:rsid w:val="00ED2284"/>
    <w:rsid w:val="00ED2AB3"/>
    <w:rsid w:val="00ED420B"/>
    <w:rsid w:val="00ED4871"/>
    <w:rsid w:val="00ED4FBD"/>
    <w:rsid w:val="00ED527C"/>
    <w:rsid w:val="00ED63EB"/>
    <w:rsid w:val="00ED7A7F"/>
    <w:rsid w:val="00EE0295"/>
    <w:rsid w:val="00EE0DFB"/>
    <w:rsid w:val="00EE1A93"/>
    <w:rsid w:val="00EE1B7E"/>
    <w:rsid w:val="00EE238B"/>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2EC"/>
    <w:rsid w:val="00EF5574"/>
    <w:rsid w:val="00EF5BE1"/>
    <w:rsid w:val="00EF5CF1"/>
    <w:rsid w:val="00EF64DD"/>
    <w:rsid w:val="00EF6A71"/>
    <w:rsid w:val="00EF6D10"/>
    <w:rsid w:val="00EF70C0"/>
    <w:rsid w:val="00EF731E"/>
    <w:rsid w:val="00EF7B59"/>
    <w:rsid w:val="00EF7CA0"/>
    <w:rsid w:val="00F00156"/>
    <w:rsid w:val="00F00626"/>
    <w:rsid w:val="00F00A1D"/>
    <w:rsid w:val="00F01955"/>
    <w:rsid w:val="00F02348"/>
    <w:rsid w:val="00F0246C"/>
    <w:rsid w:val="00F025AF"/>
    <w:rsid w:val="00F02C4C"/>
    <w:rsid w:val="00F0347D"/>
    <w:rsid w:val="00F03738"/>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B3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5DC5"/>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0E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41B7"/>
    <w:rsid w:val="00F7588D"/>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66BA"/>
    <w:rsid w:val="00F96A22"/>
    <w:rsid w:val="00F97FF8"/>
    <w:rsid w:val="00FA20E5"/>
    <w:rsid w:val="00FA2A64"/>
    <w:rsid w:val="00FA2D52"/>
    <w:rsid w:val="00FA2E4A"/>
    <w:rsid w:val="00FA34F2"/>
    <w:rsid w:val="00FA3AC3"/>
    <w:rsid w:val="00FA3DE6"/>
    <w:rsid w:val="00FA514F"/>
    <w:rsid w:val="00FA51B9"/>
    <w:rsid w:val="00FA66A8"/>
    <w:rsid w:val="00FA74FF"/>
    <w:rsid w:val="00FB0508"/>
    <w:rsid w:val="00FB17EA"/>
    <w:rsid w:val="00FB1E80"/>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C134D1"/>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C134D1"/>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 w:type="character" w:customStyle="1" w:styleId="text-justify">
    <w:name w:val="text-justify"/>
    <w:basedOn w:val="Domylnaczcionkaakapitu"/>
    <w:rsid w:val="008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251818732">
      <w:bodyDiv w:val="1"/>
      <w:marLeft w:val="0"/>
      <w:marRight w:val="0"/>
      <w:marTop w:val="0"/>
      <w:marBottom w:val="0"/>
      <w:divBdr>
        <w:top w:val="none" w:sz="0" w:space="0" w:color="auto"/>
        <w:left w:val="none" w:sz="0" w:space="0" w:color="auto"/>
        <w:bottom w:val="none" w:sz="0" w:space="0" w:color="auto"/>
        <w:right w:val="none" w:sz="0" w:space="0" w:color="auto"/>
      </w:divBdr>
    </w:div>
    <w:div w:id="295795286">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22268123">
      <w:bodyDiv w:val="1"/>
      <w:marLeft w:val="0"/>
      <w:marRight w:val="0"/>
      <w:marTop w:val="0"/>
      <w:marBottom w:val="0"/>
      <w:divBdr>
        <w:top w:val="none" w:sz="0" w:space="0" w:color="auto"/>
        <w:left w:val="none" w:sz="0" w:space="0" w:color="auto"/>
        <w:bottom w:val="none" w:sz="0" w:space="0" w:color="auto"/>
        <w:right w:val="none" w:sz="0" w:space="0" w:color="auto"/>
      </w:divBdr>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6135623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bp.pl/home.aspx?f=/kursy/arch_a.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p.pl/home.aspx?f=/kursy/arch_a.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6BCD-3D73-4CDB-8BF6-A646393C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6742</Words>
  <Characters>40457</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47105</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Agnieszka Humańska</cp:lastModifiedBy>
  <cp:revision>12</cp:revision>
  <cp:lastPrinted>2019-02-15T11:05:00Z</cp:lastPrinted>
  <dcterms:created xsi:type="dcterms:W3CDTF">2019-02-15T10:50:00Z</dcterms:created>
  <dcterms:modified xsi:type="dcterms:W3CDTF">2019-04-18T09:10:00Z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