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-778058</wp:posOffset>
            </wp:positionH>
            <wp:positionV relativeFrom="margin">
              <wp:posOffset>-870456</wp:posOffset>
            </wp:positionV>
            <wp:extent cx="7402266" cy="10659851"/>
            <wp:effectExtent l="19050" t="0" r="8184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Załącznik nr </w:t>
      </w:r>
      <w:r w:rsidR="006C4F76">
        <w:rPr>
          <w:rFonts w:ascii="Arial" w:hAnsi="Arial" w:cs="Arial"/>
          <w:b/>
          <w:color w:val="FFFFFF" w:themeColor="background1"/>
          <w:sz w:val="20"/>
          <w:szCs w:val="20"/>
        </w:rPr>
        <w:t xml:space="preserve">6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0F16AF" w:rsidRPr="005E5354" w:rsidRDefault="005E5354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Pr="004B6F06">
        <w:rPr>
          <w:rFonts w:ascii="Arial" w:hAnsi="Arial" w:cs="Arial"/>
          <w:b/>
          <w:color w:val="FFFFFF" w:themeColor="background1"/>
          <w:sz w:val="20"/>
          <w:szCs w:val="24"/>
        </w:rPr>
        <w:t>5 Zrównoważony transport</w:t>
      </w:r>
    </w:p>
    <w:p w:rsidR="005E5354" w:rsidRPr="004B6F06" w:rsidRDefault="000F16AF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DF66E7">
        <w:rPr>
          <w:rFonts w:ascii="Arial" w:hAnsi="Arial" w:cs="Arial"/>
          <w:b/>
          <w:color w:val="FFFFFF" w:themeColor="background1"/>
          <w:sz w:val="20"/>
          <w:szCs w:val="24"/>
        </w:rPr>
        <w:t>5.1</w:t>
      </w:r>
      <w:r w:rsidR="005E5354" w:rsidRPr="004B6F06">
        <w:rPr>
          <w:rFonts w:ascii="Arial" w:hAnsi="Arial" w:cs="Arial"/>
          <w:b/>
          <w:color w:val="FFFFFF" w:themeColor="background1"/>
          <w:sz w:val="20"/>
          <w:szCs w:val="24"/>
        </w:rPr>
        <w:t xml:space="preserve"> Budowa i przebudowa dróg </w:t>
      </w:r>
      <w:r w:rsidR="00DF66E7">
        <w:rPr>
          <w:rFonts w:ascii="Arial" w:hAnsi="Arial" w:cs="Arial"/>
          <w:b/>
          <w:color w:val="FFFFFF" w:themeColor="background1"/>
          <w:sz w:val="20"/>
          <w:szCs w:val="24"/>
        </w:rPr>
        <w:t>regionalnych (wojewódzkich)</w:t>
      </w: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011EB">
        <w:rPr>
          <w:rFonts w:ascii="Arial" w:hAnsi="Arial" w:cs="Arial"/>
          <w:b/>
          <w:color w:val="FFFFFF" w:themeColor="background1"/>
          <w:sz w:val="20"/>
          <w:szCs w:val="20"/>
        </w:rPr>
        <w:t>Nabór nr RPZP.05.0</w:t>
      </w:r>
      <w:r w:rsidR="00DF66E7">
        <w:rPr>
          <w:rFonts w:ascii="Arial" w:hAnsi="Arial" w:cs="Arial"/>
          <w:b/>
          <w:color w:val="FFFFFF" w:themeColor="background1"/>
          <w:sz w:val="20"/>
          <w:szCs w:val="20"/>
        </w:rPr>
        <w:t>1</w:t>
      </w:r>
      <w:r w:rsidRPr="000011EB">
        <w:rPr>
          <w:rFonts w:ascii="Arial" w:hAnsi="Arial" w:cs="Arial"/>
          <w:b/>
          <w:color w:val="FFFFFF" w:themeColor="background1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DF66E7" w:rsidRDefault="00DF66E7" w:rsidP="002714A5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F635F0" w:rsidRPr="0086448A" w:rsidRDefault="00F635F0" w:rsidP="002714A5">
      <w:pPr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bookmarkStart w:id="0" w:name="_GoBack"/>
      <w:bookmarkEnd w:id="0"/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2706C8" w:rsidRPr="00B74E9A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2706C8" w:rsidRPr="00B74E9A">
        <w:rPr>
          <w:rFonts w:ascii="Arial" w:hAnsi="Arial" w:cs="Arial"/>
          <w:b/>
        </w:rPr>
        <w:fldChar w:fldCharType="separate"/>
      </w:r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3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3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4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5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6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6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6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8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10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10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F635F0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2706C8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="002706C8" w:rsidRPr="00B74E9A">
          <w:rPr>
            <w:rFonts w:ascii="Arial" w:hAnsi="Arial" w:cs="Arial"/>
            <w:noProof/>
            <w:webHidden/>
          </w:rPr>
        </w:r>
        <w:r w:rsidR="002706C8" w:rsidRPr="00B74E9A">
          <w:rPr>
            <w:rFonts w:ascii="Arial" w:hAnsi="Arial" w:cs="Arial"/>
            <w:noProof/>
            <w:webHidden/>
          </w:rPr>
          <w:fldChar w:fldCharType="separate"/>
        </w:r>
        <w:r w:rsidR="006A0AF3">
          <w:rPr>
            <w:rFonts w:ascii="Arial" w:hAnsi="Arial" w:cs="Arial"/>
            <w:noProof/>
            <w:webHidden/>
          </w:rPr>
          <w:t>12</w:t>
        </w:r>
        <w:r w:rsidR="002706C8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2706C8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DF66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margin">
                  <wp:posOffset>6864985</wp:posOffset>
                </wp:positionV>
                <wp:extent cx="6355715" cy="2497455"/>
                <wp:effectExtent l="0" t="0" r="6985" b="0"/>
                <wp:wrapSquare wrapText="bothSides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2497455"/>
                          <a:chOff x="-5029" y="-1823"/>
                          <a:chExt cx="63569" cy="24979"/>
                        </a:xfrm>
                      </wpg:grpSpPr>
                      <wps:wsp>
                        <wps:cNvPr id="4" name="Prostokąt 11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854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15917"/>
                            <a:ext cx="48214" cy="5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-5029" y="-1823"/>
                            <a:ext cx="60325" cy="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Urząd Marszałkowski Województwa Zachodniopomorskiego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Wydział Wdrażania Regionalnego Programu Operacyjnego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ul. Ks. Kardynała Stefana Wyszyńskiego 30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70-203 Szczecin</w:t>
                              </w:r>
                            </w:p>
                            <w:p w:rsidR="008E4BD1" w:rsidRPr="009C1260" w:rsidRDefault="008E4BD1" w:rsidP="008528AF">
                              <w:pPr>
                                <w:jc w:val="center"/>
                                <w:rPr>
                                  <w:rFonts w:ascii="TitilliumText25L" w:hAnsi="TitilliumText25L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Urząd Marszałkowski Województwa Zachodniopomorskiego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Wydział Wdrażania Regionalnego Programu Operacyjnego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ul. Ks. Kardynała Stefana Wyszyńskiego 30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sz w:val="20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70-203 Szczecin</w:t>
                        </w:r>
                      </w:p>
                      <w:p w:rsidR="008E4BD1" w:rsidRPr="009C1260" w:rsidRDefault="008E4BD1" w:rsidP="008528AF">
                        <w:pPr>
                          <w:jc w:val="center"/>
                          <w:rPr>
                            <w:rFonts w:ascii="TitilliumText25L" w:hAnsi="TitilliumText25L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F635F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F635F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06C8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E5354"/>
    <w:rsid w:val="005F0B74"/>
    <w:rsid w:val="00602545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0AF3"/>
    <w:rsid w:val="006A2941"/>
    <w:rsid w:val="006A3253"/>
    <w:rsid w:val="006A4B12"/>
    <w:rsid w:val="006A552A"/>
    <w:rsid w:val="006B3B86"/>
    <w:rsid w:val="006C4F7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6448A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D6737"/>
    <w:rsid w:val="00DD6989"/>
    <w:rsid w:val="00DE165E"/>
    <w:rsid w:val="00DE6594"/>
    <w:rsid w:val="00DF66E7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B7EC2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635F0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94B17-BA88-448D-B01F-F1E13D0A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4562</Words>
  <Characters>27372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Użytkownik systemu Windows</cp:lastModifiedBy>
  <cp:revision>4</cp:revision>
  <cp:lastPrinted>2017-05-05T12:18:00Z</cp:lastPrinted>
  <dcterms:created xsi:type="dcterms:W3CDTF">2017-04-28T11:32:00Z</dcterms:created>
  <dcterms:modified xsi:type="dcterms:W3CDTF">2017-05-24T08:30:00Z</dcterms:modified>
</cp:coreProperties>
</file>