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2E64D8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6259A" w:rsidRPr="005819A7">
        <w:rPr>
          <w:rFonts w:ascii="Arial" w:hAnsi="Arial" w:cs="Arial"/>
          <w:b/>
          <w:bCs/>
          <w:sz w:val="20"/>
          <w:szCs w:val="20"/>
        </w:rPr>
        <w:t>Ś</w:t>
      </w:r>
      <w:r w:rsidR="0066259A" w:rsidRPr="005819A7">
        <w:rPr>
          <w:rFonts w:ascii="Arial" w:hAnsi="Arial" w:cs="Arial"/>
          <w:b/>
          <w:sz w:val="20"/>
          <w:szCs w:val="20"/>
        </w:rPr>
        <w:t>wiadczenie usług szkoleniowych na potrzeby Regionalnego Ośrodka Polityki Społecznej Urzędu Marszałkowskiego Województwa Zachodniopomorskiego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B3758F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6259A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6259A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B3758F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66259A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6259A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66259A"/>
    <w:rsid w:val="00795BB5"/>
    <w:rsid w:val="00A06249"/>
    <w:rsid w:val="00B3758F"/>
    <w:rsid w:val="00B9718E"/>
    <w:rsid w:val="00E6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3</cp:revision>
  <dcterms:created xsi:type="dcterms:W3CDTF">2019-02-19T07:13:00Z</dcterms:created>
  <dcterms:modified xsi:type="dcterms:W3CDTF">2019-02-22T11:39:00Z</dcterms:modified>
</cp:coreProperties>
</file>