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01" w:rsidRPr="00455318" w:rsidRDefault="00135C72" w:rsidP="00295648">
      <w:pPr>
        <w:pStyle w:val="Nagwek1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Założenia </w:t>
      </w:r>
      <w:r w:rsidR="005F4A01" w:rsidRPr="00455318">
        <w:rPr>
          <w:rFonts w:ascii="Myriad Pro" w:hAnsi="Myriad Pro" w:cstheme="minorHAnsi"/>
          <w:sz w:val="20"/>
          <w:szCs w:val="20"/>
        </w:rPr>
        <w:t>naborów</w:t>
      </w:r>
      <w:r w:rsidR="00582D0B" w:rsidRPr="00455318">
        <w:rPr>
          <w:rFonts w:ascii="Myriad Pro" w:hAnsi="Myriad Pro" w:cstheme="minorHAnsi"/>
          <w:sz w:val="20"/>
          <w:szCs w:val="20"/>
        </w:rPr>
        <w:t xml:space="preserve"> </w:t>
      </w:r>
      <w:r w:rsidR="005F4A01" w:rsidRPr="00455318">
        <w:rPr>
          <w:rFonts w:ascii="Myriad Pro" w:hAnsi="Myriad Pro" w:cstheme="minorHAnsi"/>
          <w:sz w:val="20"/>
          <w:szCs w:val="20"/>
        </w:rPr>
        <w:t>w ramach Działania 1.5 – Innowacyjne inwestycje przedsiębiorstw realizowane w okresie kryzysu wywołanego skutkami epidemii COVID-19</w:t>
      </w:r>
    </w:p>
    <w:p w:rsidR="005F4A01" w:rsidRPr="00455318" w:rsidRDefault="005F4A01">
      <w:pPr>
        <w:rPr>
          <w:rFonts w:ascii="Myriad Pro" w:hAnsi="Myriad Pro" w:cstheme="minorHAnsi"/>
          <w:sz w:val="20"/>
          <w:szCs w:val="20"/>
        </w:rPr>
      </w:pPr>
    </w:p>
    <w:p w:rsidR="00AE6B80" w:rsidRPr="00455318" w:rsidRDefault="00AE6B80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I. Podstawowe warunki wspólne dla obu naborów:</w:t>
      </w:r>
    </w:p>
    <w:p w:rsidR="005F4A01" w:rsidRPr="00455318" w:rsidRDefault="005F4A01" w:rsidP="007B3911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Celem konkursów będzie wsparcie zachodniopomorskich przedsiębiorstw działających:</w:t>
      </w:r>
    </w:p>
    <w:p w:rsidR="005F4A01" w:rsidRPr="00455318" w:rsidRDefault="005F4A01" w:rsidP="007B3911">
      <w:pPr>
        <w:pStyle w:val="Akapitzlist"/>
        <w:numPr>
          <w:ilvl w:val="1"/>
          <w:numId w:val="11"/>
        </w:numPr>
        <w:rPr>
          <w:rFonts w:ascii="Myriad Pro" w:hAnsi="Myriad Pro" w:cstheme="minorHAnsi"/>
          <w:sz w:val="20"/>
          <w:szCs w:val="20"/>
          <w:u w:val="single"/>
        </w:rPr>
      </w:pPr>
      <w:r w:rsidRPr="00455318">
        <w:rPr>
          <w:rFonts w:ascii="Myriad Pro" w:hAnsi="Myriad Pro" w:cstheme="minorHAnsi"/>
          <w:sz w:val="20"/>
          <w:szCs w:val="20"/>
        </w:rPr>
        <w:t>wyłącznie w obszarze inteligentnych specjalizacji lub branżach bezpośrednio z nimi powiązanych</w:t>
      </w:r>
      <w:r w:rsidR="002A7DC1" w:rsidRPr="00455318">
        <w:rPr>
          <w:rFonts w:ascii="Myriad Pro" w:hAnsi="Myriad Pro" w:cstheme="minorHAnsi"/>
          <w:sz w:val="20"/>
          <w:szCs w:val="20"/>
        </w:rPr>
        <w:t xml:space="preserve"> </w:t>
      </w:r>
    </w:p>
    <w:p w:rsidR="005F4A01" w:rsidRPr="00455318" w:rsidRDefault="005F4A01" w:rsidP="007B3911">
      <w:pPr>
        <w:pStyle w:val="Akapitzlist"/>
        <w:numPr>
          <w:ilvl w:val="1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w sektorze turystyki</w:t>
      </w:r>
    </w:p>
    <w:p w:rsidR="005F4A01" w:rsidRPr="00455318" w:rsidRDefault="005F4A01" w:rsidP="005F4A01">
      <w:pPr>
        <w:spacing w:after="0" w:line="240" w:lineRule="auto"/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realizujących projekty inwestycyjne w okresie kryzysu gospodarczego wywołanego skutkami epidemii COVID-19 oraz </w:t>
      </w:r>
      <w:r w:rsidRPr="00455318">
        <w:rPr>
          <w:rFonts w:ascii="Myriad Pro" w:hAnsi="Myriad Pro" w:cstheme="minorHAnsi"/>
          <w:sz w:val="20"/>
          <w:szCs w:val="20"/>
          <w:u w:val="single"/>
        </w:rPr>
        <w:t>zagwarantowanie trwałości miejsc pracy</w:t>
      </w:r>
      <w:r w:rsidR="00040477">
        <w:rPr>
          <w:rFonts w:ascii="Myriad Pro" w:hAnsi="Myriad Pro" w:cstheme="minorHAnsi"/>
          <w:b/>
          <w:sz w:val="20"/>
          <w:szCs w:val="20"/>
        </w:rPr>
        <w:t>.</w:t>
      </w:r>
      <w:r w:rsidRPr="00455318">
        <w:rPr>
          <w:rFonts w:ascii="Myriad Pro" w:hAnsi="Myriad Pro" w:cstheme="minorHAnsi"/>
          <w:b/>
          <w:sz w:val="20"/>
          <w:szCs w:val="20"/>
        </w:rPr>
        <w:t xml:space="preserve"> </w:t>
      </w:r>
    </w:p>
    <w:p w:rsidR="005F4A01" w:rsidRPr="00455318" w:rsidRDefault="005F4A01" w:rsidP="005F4A01">
      <w:pPr>
        <w:ind w:left="452"/>
        <w:rPr>
          <w:rFonts w:ascii="Myriad Pro" w:hAnsi="Myriad Pro" w:cstheme="minorHAnsi"/>
          <w:sz w:val="20"/>
          <w:szCs w:val="20"/>
          <w:u w:val="single"/>
        </w:rPr>
      </w:pPr>
    </w:p>
    <w:p w:rsidR="00182E13" w:rsidRDefault="005F4A01" w:rsidP="00956E75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956E75">
        <w:rPr>
          <w:rFonts w:ascii="Myriad Pro" w:hAnsi="Myriad Pro" w:cstheme="minorHAnsi"/>
          <w:sz w:val="20"/>
          <w:szCs w:val="20"/>
        </w:rPr>
        <w:t xml:space="preserve">Wnioskodawcy: </w:t>
      </w:r>
      <w:r w:rsidR="00364DE7" w:rsidRPr="00575B75">
        <w:rPr>
          <w:rFonts w:ascii="Myriad Pro" w:hAnsi="Myriad Pro" w:cstheme="minorHAnsi"/>
          <w:sz w:val="20"/>
          <w:szCs w:val="20"/>
        </w:rPr>
        <w:t>mikro małe i średnie</w:t>
      </w:r>
      <w:r w:rsidR="00364DE7">
        <w:rPr>
          <w:rFonts w:ascii="Myriad Pro" w:hAnsi="Myriad Pro" w:cstheme="minorHAnsi"/>
          <w:sz w:val="20"/>
          <w:szCs w:val="20"/>
        </w:rPr>
        <w:t xml:space="preserve"> przedsiębiorstwa spełniające jeden z poniżej określonych warunków:</w:t>
      </w:r>
    </w:p>
    <w:p w:rsidR="00ED371A" w:rsidRDefault="00ED371A" w:rsidP="00205E22">
      <w:pPr>
        <w:numPr>
          <w:ilvl w:val="1"/>
          <w:numId w:val="11"/>
        </w:numPr>
        <w:contextualSpacing/>
        <w:rPr>
          <w:rFonts w:ascii="Myriad Pro" w:eastAsia="Times New Roman" w:hAnsi="Myriad Pro" w:cs="Calibri"/>
          <w:sz w:val="20"/>
          <w:szCs w:val="20"/>
        </w:rPr>
      </w:pPr>
      <w:r w:rsidRPr="00182E13">
        <w:rPr>
          <w:rFonts w:ascii="Myriad Pro" w:eastAsia="Times New Roman" w:hAnsi="Myriad Pro" w:cs="Calibri"/>
          <w:sz w:val="20"/>
          <w:szCs w:val="20"/>
        </w:rPr>
        <w:t xml:space="preserve">przedsiębiorstwo działa nie krócej niż przez 3 miesiące poprzedzające miesiąc ogłoszenia naboru, a jego przeciętne zatrudnienie obliczone dla 3 miesięcy poprzedzających </w:t>
      </w:r>
      <w:r>
        <w:rPr>
          <w:rFonts w:ascii="Myriad Pro" w:eastAsia="Times New Roman" w:hAnsi="Myriad Pro" w:cs="Calibri"/>
          <w:sz w:val="20"/>
          <w:szCs w:val="20"/>
        </w:rPr>
        <w:t>miesiąc</w:t>
      </w:r>
      <w:r w:rsidRPr="00182E13">
        <w:rPr>
          <w:rFonts w:ascii="Myriad Pro" w:eastAsia="Times New Roman" w:hAnsi="Myriad Pro" w:cs="Calibri"/>
          <w:sz w:val="20"/>
          <w:szCs w:val="20"/>
        </w:rPr>
        <w:t xml:space="preserve"> ogłoszenia naboru  wynosi co najmniej 3 etaty (EPC);</w:t>
      </w:r>
    </w:p>
    <w:p w:rsidR="00ED371A" w:rsidRPr="00EA01FA" w:rsidRDefault="00ED371A" w:rsidP="00205E22">
      <w:pPr>
        <w:numPr>
          <w:ilvl w:val="1"/>
          <w:numId w:val="11"/>
        </w:numPr>
        <w:contextualSpacing/>
        <w:rPr>
          <w:rFonts w:ascii="Myriad Pro" w:hAnsi="Myriad Pro" w:cs="Arial"/>
          <w:sz w:val="20"/>
          <w:szCs w:val="20"/>
        </w:rPr>
      </w:pPr>
      <w:r w:rsidRPr="00182E13">
        <w:rPr>
          <w:rFonts w:ascii="Myriad Pro" w:eastAsia="Times New Roman" w:hAnsi="Myriad Pro" w:cs="Calibri"/>
          <w:sz w:val="20"/>
          <w:szCs w:val="20"/>
        </w:rPr>
        <w:t>przedsiębiorstwo działa</w:t>
      </w:r>
      <w:r>
        <w:t xml:space="preserve"> </w:t>
      </w:r>
      <w:r w:rsidRPr="00182E13">
        <w:rPr>
          <w:rFonts w:ascii="Myriad Pro" w:eastAsia="Times New Roman" w:hAnsi="Myriad Pro" w:cs="Calibri"/>
          <w:sz w:val="20"/>
          <w:szCs w:val="20"/>
        </w:rPr>
        <w:t xml:space="preserve">nie krócej niż przez 3 miesiące poprzedzające miesiąc ogłoszenia naboru, a przeciętne zatrudnienie w przedsiębiorstwie obliczone dla 3 miesięcy poprzedzających </w:t>
      </w:r>
      <w:r>
        <w:rPr>
          <w:rFonts w:ascii="Myriad Pro" w:eastAsia="Times New Roman" w:hAnsi="Myriad Pro" w:cs="Calibri"/>
          <w:sz w:val="20"/>
          <w:szCs w:val="20"/>
        </w:rPr>
        <w:t xml:space="preserve">miesiąc </w:t>
      </w:r>
      <w:r w:rsidRPr="00182E13">
        <w:rPr>
          <w:rFonts w:ascii="Myriad Pro" w:eastAsia="Times New Roman" w:hAnsi="Myriad Pro" w:cs="Calibri"/>
          <w:sz w:val="20"/>
          <w:szCs w:val="20"/>
        </w:rPr>
        <w:t>ogłoszenia naboru  wynosi mniej  niż   3 etaty (EPC ) i  zadeklarowało we wniosku o dofinansowanie, że osiągnie zatrudnienie na poziomie co najmniej 3 etaty (EPC) w momencie zakończenia projektu;</w:t>
      </w:r>
    </w:p>
    <w:p w:rsidR="00ED371A" w:rsidRPr="00182E13" w:rsidRDefault="00ED371A" w:rsidP="00205E22">
      <w:pPr>
        <w:numPr>
          <w:ilvl w:val="1"/>
          <w:numId w:val="11"/>
        </w:numPr>
        <w:contextualSpacing/>
        <w:rPr>
          <w:rFonts w:ascii="Myriad Pro" w:hAnsi="Myriad Pro" w:cs="Arial"/>
          <w:sz w:val="20"/>
          <w:szCs w:val="20"/>
        </w:rPr>
      </w:pPr>
      <w:r w:rsidRPr="00182E13">
        <w:rPr>
          <w:rFonts w:ascii="Myriad Pro" w:eastAsia="Times New Roman" w:hAnsi="Myriad Pro" w:cs="Calibri"/>
          <w:sz w:val="20"/>
          <w:szCs w:val="20"/>
        </w:rPr>
        <w:t xml:space="preserve"> przedsiębiorstwo działa krócej niż przez 3 miesiące poprzedzające miesiąc ogłoszenia naboru i   zadeklarowało we wniosku o dofinansowanie, że  osiągnie zatrudnienia na poziomie co najmniej 3 etaty (EPC) w momencie zakończenia projektu.</w:t>
      </w:r>
    </w:p>
    <w:p w:rsidR="00956E75" w:rsidRPr="00ED371A" w:rsidRDefault="00956E75" w:rsidP="00ED371A">
      <w:pPr>
        <w:rPr>
          <w:rFonts w:ascii="Myriad Pro" w:hAnsi="Myriad Pro" w:cstheme="minorHAnsi"/>
          <w:sz w:val="20"/>
          <w:szCs w:val="20"/>
        </w:rPr>
      </w:pPr>
    </w:p>
    <w:p w:rsidR="005F4A01" w:rsidRPr="00234348" w:rsidRDefault="005F4A01" w:rsidP="00234348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234348">
        <w:rPr>
          <w:rFonts w:ascii="Myriad Pro" w:hAnsi="Myriad Pro" w:cstheme="minorHAnsi"/>
          <w:sz w:val="20"/>
          <w:szCs w:val="20"/>
        </w:rPr>
        <w:t>Typy projektów</w:t>
      </w:r>
      <w:r w:rsidRPr="00234348">
        <w:rPr>
          <w:rFonts w:ascii="Myriad Pro" w:hAnsi="Myriad Pro" w:cstheme="minorHAnsi"/>
          <w:b/>
          <w:sz w:val="20"/>
          <w:szCs w:val="20"/>
        </w:rPr>
        <w:t>:</w:t>
      </w:r>
      <w:r w:rsidRPr="00234348">
        <w:rPr>
          <w:rFonts w:ascii="Myriad Pro" w:hAnsi="Myriad Pro" w:cstheme="minorHAnsi"/>
          <w:sz w:val="20"/>
          <w:szCs w:val="20"/>
        </w:rPr>
        <w:t xml:space="preserve">  Innowacyjne inwestycje przedsiębiorstw</w:t>
      </w:r>
    </w:p>
    <w:p w:rsidR="00401A24" w:rsidRPr="00455318" w:rsidRDefault="00401A24" w:rsidP="00401A24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5F4A01" w:rsidRPr="001C43BE" w:rsidRDefault="005F4A01" w:rsidP="001C43BE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1C43BE">
        <w:rPr>
          <w:rFonts w:ascii="Myriad Pro" w:hAnsi="Myriad Pro" w:cstheme="minorHAnsi"/>
          <w:sz w:val="20"/>
          <w:szCs w:val="20"/>
        </w:rPr>
        <w:t>Zgodność z celem szczegółowym priorytetu inwestycyjnego 3c oraz celem działania 1.5 jakim jest „Zwiększone zastosowanie innowacji w MŚP</w:t>
      </w:r>
      <w:r w:rsidRPr="001C43BE">
        <w:rPr>
          <w:rFonts w:ascii="Myriad Pro" w:hAnsi="Myriad Pro" w:cstheme="minorHAnsi"/>
          <w:b/>
          <w:sz w:val="20"/>
          <w:szCs w:val="20"/>
        </w:rPr>
        <w:t>”</w:t>
      </w:r>
      <w:r w:rsidRPr="001C43BE">
        <w:rPr>
          <w:rFonts w:ascii="Myriad Pro" w:hAnsi="Myriad Pro" w:cstheme="minorHAnsi"/>
          <w:sz w:val="20"/>
          <w:szCs w:val="20"/>
        </w:rPr>
        <w:t>. Wpływ na osiągnięcie wskaźnika rezultatu: Liczba wprowadzonych innowacji [szt.]”.</w:t>
      </w:r>
    </w:p>
    <w:p w:rsidR="005F4A01" w:rsidRPr="00455318" w:rsidRDefault="005F4A01" w:rsidP="005F4A01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  <w:u w:val="single"/>
        </w:rPr>
        <w:t xml:space="preserve">Realizacja projektu prowadzi do wprowadzenia w przedsiębiorstwie innowacji produktowej bądź procesowej, co najmniej w skali </w:t>
      </w:r>
      <w:r w:rsidRPr="00455318">
        <w:rPr>
          <w:rFonts w:ascii="Myriad Pro" w:hAnsi="Myriad Pro" w:cstheme="minorHAnsi"/>
          <w:b/>
          <w:sz w:val="20"/>
          <w:szCs w:val="20"/>
          <w:u w:val="single"/>
        </w:rPr>
        <w:t>regionalnej</w:t>
      </w:r>
    </w:p>
    <w:p w:rsidR="00401A24" w:rsidRPr="00455318" w:rsidRDefault="00401A24" w:rsidP="005F4A01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5F4A01" w:rsidRPr="00455318" w:rsidRDefault="005F4A01" w:rsidP="001C43BE">
      <w:pPr>
        <w:pStyle w:val="Akapitzlist"/>
        <w:numPr>
          <w:ilvl w:val="0"/>
          <w:numId w:val="11"/>
        </w:numPr>
        <w:spacing w:after="0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Dofinansowaniu będą podlegały projekty obejmujące inwestycje w grunty, budynki, budowle, nowoczesne maszyny i urządzenia, wartości niematerialne i prawne, czy wdrażanie nowych rozwiązań technologicznych, prowadzące do:</w:t>
      </w:r>
    </w:p>
    <w:p w:rsidR="005F4A01" w:rsidRPr="00455318" w:rsidRDefault="005F4A01" w:rsidP="00401A24">
      <w:pPr>
        <w:numPr>
          <w:ilvl w:val="0"/>
          <w:numId w:val="2"/>
        </w:numPr>
        <w:spacing w:after="0"/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budowy/rozbudowy przedsiębiorstwa, </w:t>
      </w:r>
    </w:p>
    <w:p w:rsidR="005F4A01" w:rsidRPr="00455318" w:rsidRDefault="005F4A01" w:rsidP="005F4A01">
      <w:pPr>
        <w:numPr>
          <w:ilvl w:val="0"/>
          <w:numId w:val="2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wykreowania nowego lub zasadniczo ulepszonego produktu, </w:t>
      </w:r>
    </w:p>
    <w:p w:rsidR="005F4A01" w:rsidRPr="00455318" w:rsidRDefault="005F4A01" w:rsidP="005F4A01">
      <w:pPr>
        <w:numPr>
          <w:ilvl w:val="0"/>
          <w:numId w:val="2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zwiększenia efektywności produkcji przedsiębiorstwa, </w:t>
      </w:r>
    </w:p>
    <w:p w:rsidR="005F4A01" w:rsidRPr="00455318" w:rsidRDefault="005F4A01" w:rsidP="005F4A01">
      <w:pPr>
        <w:numPr>
          <w:ilvl w:val="0"/>
          <w:numId w:val="2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zasadniczej zmiany procesu produkcyjnego.</w:t>
      </w:r>
    </w:p>
    <w:p w:rsidR="005F4A01" w:rsidRPr="00455318" w:rsidRDefault="005F4A01" w:rsidP="001C43BE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Wymagana konkurencyjność przedsiębiorstwa co najmniej na poziomie  </w:t>
      </w:r>
      <w:r w:rsidRPr="00455318">
        <w:rPr>
          <w:rFonts w:ascii="Myriad Pro" w:hAnsi="Myriad Pro" w:cstheme="minorHAnsi"/>
          <w:b/>
          <w:sz w:val="20"/>
          <w:szCs w:val="20"/>
        </w:rPr>
        <w:t xml:space="preserve">regionalnym </w:t>
      </w:r>
    </w:p>
    <w:p w:rsidR="00401A24" w:rsidRPr="00455318" w:rsidRDefault="00401A24" w:rsidP="00401A24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8D05E3" w:rsidRDefault="005F4A01" w:rsidP="001C43BE">
      <w:pPr>
        <w:pStyle w:val="Akapitzlist"/>
        <w:numPr>
          <w:ilvl w:val="0"/>
          <w:numId w:val="11"/>
        </w:numPr>
        <w:rPr>
          <w:rFonts w:ascii="Myriad Pro" w:hAnsi="Myriad Pro" w:cs="Arial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Pr</w:t>
      </w:r>
      <w:r w:rsidR="00815230" w:rsidRPr="00455318">
        <w:rPr>
          <w:rFonts w:ascii="Myriad Pro" w:hAnsi="Myriad Pro" w:cstheme="minorHAnsi"/>
          <w:sz w:val="20"/>
          <w:szCs w:val="20"/>
        </w:rPr>
        <w:t xml:space="preserve">ojekty będą mogły zakładać działania (wydatki) służące </w:t>
      </w:r>
      <w:r w:rsidRPr="00455318">
        <w:rPr>
          <w:rFonts w:ascii="Myriad Pro" w:hAnsi="Myriad Pro" w:cstheme="minorHAnsi"/>
          <w:b/>
          <w:sz w:val="20"/>
          <w:szCs w:val="20"/>
        </w:rPr>
        <w:t>dostosowaniu przedsiębiorstwa do skutecznego przeciwdziałania negatywnym skutkom wystąpienia epidemii COVID-19</w:t>
      </w:r>
      <w:r w:rsidRPr="00455318">
        <w:rPr>
          <w:rFonts w:ascii="Myriad Pro" w:hAnsi="Myriad Pro" w:cstheme="minorHAnsi"/>
          <w:sz w:val="20"/>
          <w:szCs w:val="20"/>
        </w:rPr>
        <w:t xml:space="preserve">, tzn. działań polegających na przebudowie lub rozbudowie infrastruktury (obiektów), adaptacji pomieszczeń, wdrożeniu rozwiązań ICT, zakupie </w:t>
      </w:r>
      <w:r w:rsidR="008D66BA" w:rsidRPr="00455318">
        <w:rPr>
          <w:rFonts w:ascii="Myriad Pro" w:hAnsi="Myriad Pro" w:cstheme="minorHAnsi"/>
          <w:sz w:val="20"/>
          <w:szCs w:val="20"/>
        </w:rPr>
        <w:t xml:space="preserve">środków trwałych </w:t>
      </w:r>
      <w:r w:rsidRPr="00455318">
        <w:rPr>
          <w:rFonts w:ascii="Myriad Pro" w:hAnsi="Myriad Pro" w:cstheme="minorHAnsi"/>
          <w:sz w:val="20"/>
          <w:szCs w:val="20"/>
        </w:rPr>
        <w:t xml:space="preserve">(ozonatory, lampy UV, urządzenia sterylizujące, </w:t>
      </w:r>
      <w:r w:rsidRPr="00455318">
        <w:rPr>
          <w:rFonts w:ascii="Myriad Pro" w:hAnsi="Myriad Pro" w:cstheme="minorHAnsi"/>
          <w:sz w:val="20"/>
          <w:szCs w:val="20"/>
        </w:rPr>
        <w:lastRenderedPageBreak/>
        <w:t>wyparzające, itp.), z wyłączeniem możliwości zakupu środków ochrony osobistej takich jak maseczki, przyłbice, płyny do dezynfekcji rąk;</w:t>
      </w:r>
      <w:r w:rsidR="008D05E3" w:rsidRPr="00455318">
        <w:rPr>
          <w:rFonts w:ascii="Myriad Pro" w:hAnsi="Myriad Pro" w:cs="Arial"/>
          <w:sz w:val="20"/>
          <w:szCs w:val="20"/>
        </w:rPr>
        <w:t xml:space="preserve"> </w:t>
      </w:r>
    </w:p>
    <w:p w:rsidR="007F2EA9" w:rsidRPr="00455318" w:rsidRDefault="007F2EA9" w:rsidP="007F2EA9">
      <w:pPr>
        <w:pStyle w:val="Akapitzlist"/>
        <w:ind w:left="360"/>
        <w:rPr>
          <w:rFonts w:ascii="Myriad Pro" w:hAnsi="Myriad Pro" w:cs="Arial"/>
          <w:sz w:val="20"/>
          <w:szCs w:val="20"/>
        </w:rPr>
      </w:pPr>
    </w:p>
    <w:p w:rsidR="005F4A01" w:rsidRPr="001E19E1" w:rsidRDefault="008D05E3" w:rsidP="001C43BE">
      <w:pPr>
        <w:pStyle w:val="Akapitzlist"/>
        <w:numPr>
          <w:ilvl w:val="0"/>
          <w:numId w:val="11"/>
        </w:numPr>
        <w:rPr>
          <w:rFonts w:ascii="Myriad Pro" w:hAnsi="Myriad Pro" w:cs="Arial"/>
          <w:sz w:val="20"/>
          <w:szCs w:val="20"/>
        </w:rPr>
      </w:pPr>
      <w:r w:rsidRPr="00455318">
        <w:rPr>
          <w:rFonts w:ascii="Myriad Pro" w:hAnsi="Myriad Pro" w:cs="Arial"/>
          <w:sz w:val="20"/>
          <w:szCs w:val="20"/>
        </w:rPr>
        <w:t>Maksymalna wartość wydatków kwalifikowalnych służących dostosowaniu przedsiębiorstwa do skutecznego przeciwdziałania negatywnym skutkom wystąpienia epidemii COVID-19 – 25% całkowitych wydatków kwalifikowalnych projektu</w:t>
      </w:r>
    </w:p>
    <w:p w:rsidR="00401A24" w:rsidRPr="00455318" w:rsidRDefault="00401A24" w:rsidP="00401A24">
      <w:pPr>
        <w:pStyle w:val="Akapitzlist"/>
        <w:ind w:left="1080"/>
        <w:rPr>
          <w:rFonts w:ascii="Myriad Pro" w:hAnsi="Myriad Pro" w:cstheme="minorHAnsi"/>
          <w:sz w:val="20"/>
          <w:szCs w:val="20"/>
          <w:highlight w:val="yellow"/>
        </w:rPr>
      </w:pPr>
    </w:p>
    <w:p w:rsidR="00401A24" w:rsidRPr="00455318" w:rsidRDefault="00401A24" w:rsidP="001C43BE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Projekt jest realizowany na obszarze województwa zachodniopomorskiego. W przypadku projektów o niestacjonarnym charakterze siedziba Wnioskodawcy musi się znaleźć na terenie województwa zachodniopomorskiego. Wnioskodawca </w:t>
      </w:r>
      <w:r w:rsidRPr="00455318">
        <w:rPr>
          <w:rFonts w:ascii="Myriad Pro" w:hAnsi="Myriad Pro" w:cstheme="minorHAnsi"/>
          <w:sz w:val="20"/>
          <w:szCs w:val="20"/>
          <w:u w:val="single"/>
        </w:rPr>
        <w:t>na dzień złożenia wniosku o dofinansowanie</w:t>
      </w:r>
      <w:r w:rsidRPr="00455318">
        <w:rPr>
          <w:rFonts w:ascii="Myriad Pro" w:hAnsi="Myriad Pro" w:cstheme="minorHAnsi"/>
          <w:sz w:val="20"/>
          <w:szCs w:val="20"/>
        </w:rPr>
        <w:t xml:space="preserve"> musi posiadać prawo do dysponowania nieruchomością na cele realizacji projektu (nie dotyczy projektów, które swoim zakresem obejmują zakup nieruchomości).</w:t>
      </w:r>
    </w:p>
    <w:p w:rsidR="002A7DC1" w:rsidRPr="00455318" w:rsidRDefault="002A7DC1" w:rsidP="002A7DC1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CD7851" w:rsidRDefault="005F4A01" w:rsidP="001C43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Minimalna wartość kosztów kwalifikowanych projektu wynosi</w:t>
      </w:r>
      <w:r w:rsidR="00CD7851">
        <w:rPr>
          <w:rFonts w:ascii="Myriad Pro" w:hAnsi="Myriad Pro" w:cstheme="minorHAnsi"/>
          <w:sz w:val="20"/>
          <w:szCs w:val="20"/>
        </w:rPr>
        <w:t>:</w:t>
      </w:r>
    </w:p>
    <w:p w:rsidR="00CD7851" w:rsidRPr="00E66418" w:rsidRDefault="00CD7851" w:rsidP="00E66418">
      <w:pPr>
        <w:pStyle w:val="Akapitzlist"/>
        <w:rPr>
          <w:rFonts w:ascii="Myriad Pro" w:hAnsi="Myriad Pro" w:cstheme="minorHAnsi"/>
          <w:sz w:val="20"/>
          <w:szCs w:val="20"/>
        </w:rPr>
      </w:pPr>
    </w:p>
    <w:p w:rsidR="002A7DC1" w:rsidRDefault="005F4A01" w:rsidP="00E6641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 500 000 zł</w:t>
      </w:r>
      <w:r w:rsidR="00CD7851">
        <w:rPr>
          <w:rFonts w:ascii="Myriad Pro" w:hAnsi="Myriad Pro" w:cstheme="minorHAnsi"/>
          <w:sz w:val="20"/>
          <w:szCs w:val="20"/>
        </w:rPr>
        <w:t xml:space="preserve"> dla naboru dedykowanego dla inteligentnych specjalizacji</w:t>
      </w:r>
    </w:p>
    <w:p w:rsidR="001C43BE" w:rsidRPr="00455318" w:rsidRDefault="001C43BE" w:rsidP="001C43B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300 000 zł dla naboru dedykowanego turystyce</w:t>
      </w:r>
    </w:p>
    <w:p w:rsidR="002A7DC1" w:rsidRPr="00455318" w:rsidRDefault="002A7DC1" w:rsidP="002A7D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theme="minorHAnsi"/>
          <w:sz w:val="20"/>
          <w:szCs w:val="20"/>
        </w:rPr>
      </w:pPr>
    </w:p>
    <w:p w:rsidR="00AE6B80" w:rsidRPr="00455318" w:rsidRDefault="005F4A01" w:rsidP="001C43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  <w:r w:rsidRPr="00455318">
        <w:rPr>
          <w:rStyle w:val="Pogrubienie"/>
          <w:rFonts w:ascii="Myriad Pro" w:hAnsi="Myriad Pro" w:cstheme="minorHAnsi"/>
          <w:b w:val="0"/>
          <w:sz w:val="20"/>
          <w:szCs w:val="20"/>
        </w:rPr>
        <w:t>Maksymalna kwota dofinansowania projektu</w:t>
      </w:r>
      <w:r w:rsidRPr="00455318">
        <w:rPr>
          <w:rStyle w:val="Pogrubienie"/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>wynosi 4 000 000,00 zł</w:t>
      </w:r>
    </w:p>
    <w:p w:rsidR="002A7DC1" w:rsidRPr="00455318" w:rsidRDefault="002A7DC1" w:rsidP="002A7D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theme="minorHAnsi"/>
          <w:sz w:val="20"/>
          <w:szCs w:val="20"/>
        </w:rPr>
      </w:pPr>
    </w:p>
    <w:p w:rsidR="002A7DC1" w:rsidRPr="00455318" w:rsidRDefault="002A7DC1" w:rsidP="002A7DC1">
      <w:pPr>
        <w:spacing w:line="360" w:lineRule="auto"/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12. Alokacja:</w:t>
      </w:r>
    </w:p>
    <w:p w:rsidR="002A7DC1" w:rsidRPr="00455318" w:rsidRDefault="002A7DC1" w:rsidP="007B3911">
      <w:pPr>
        <w:pStyle w:val="Akapitzlist"/>
        <w:numPr>
          <w:ilvl w:val="0"/>
          <w:numId w:val="13"/>
        </w:numPr>
        <w:spacing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nabór dedykowany inteligentnym specjalizacjom – 30 mln zł</w:t>
      </w:r>
    </w:p>
    <w:p w:rsidR="002A7DC1" w:rsidRPr="00455318" w:rsidRDefault="002A7DC1" w:rsidP="007B3911">
      <w:pPr>
        <w:pStyle w:val="Akapitzlist"/>
        <w:numPr>
          <w:ilvl w:val="0"/>
          <w:numId w:val="13"/>
        </w:numPr>
        <w:spacing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nabór dedykowany turystyce – 20 mln zł</w:t>
      </w:r>
    </w:p>
    <w:p w:rsidR="002A7DC1" w:rsidRPr="00455318" w:rsidRDefault="002A7DC1" w:rsidP="002A7DC1">
      <w:pPr>
        <w:spacing w:line="360" w:lineRule="auto"/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 xml:space="preserve">II Kryteria premiowane: </w:t>
      </w:r>
    </w:p>
    <w:p w:rsidR="002A7DC1" w:rsidRPr="00455318" w:rsidRDefault="002A7DC1" w:rsidP="007B3911">
      <w:pPr>
        <w:pStyle w:val="Akapitzlist"/>
        <w:numPr>
          <w:ilvl w:val="0"/>
          <w:numId w:val="3"/>
        </w:numPr>
        <w:spacing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Wysoko premiowane projekty gotowe do realizacji</w:t>
      </w:r>
    </w:p>
    <w:p w:rsidR="002A7DC1" w:rsidRPr="00455318" w:rsidRDefault="002A7DC1" w:rsidP="002A7DC1">
      <w:pPr>
        <w:tabs>
          <w:tab w:val="left" w:pos="1204"/>
        </w:tabs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Punkty przyznawane są za posiadanie wymaganych pozwoleń, decyzji, których uzyskanie wynika z procedur prawa budowlanego oraz posiadanie wymaganych koncesji, pozwoleń: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projekt nie wymaga uzyskania ww. dokumentów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10  pkt.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br/>
        <w:t>lub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wnioskodawca  posiada komplet dokumentów 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10 pkt.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wnioskodawca nie posiada ww. dokumentów 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0 pkt.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projekt zakłada zakup nieruchomości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0 pkt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.</w:t>
      </w:r>
    </w:p>
    <w:p w:rsidR="00AE6B80" w:rsidRPr="00455318" w:rsidRDefault="00AE6B80" w:rsidP="00AE6B80">
      <w:pPr>
        <w:pStyle w:val="Akapitzlist"/>
        <w:ind w:left="1039"/>
        <w:rPr>
          <w:rFonts w:ascii="Myriad Pro" w:eastAsia="Times New Roman" w:hAnsi="Myriad Pro" w:cstheme="minorHAnsi"/>
          <w:color w:val="000000"/>
          <w:sz w:val="20"/>
          <w:szCs w:val="20"/>
          <w:highlight w:val="yellow"/>
        </w:rPr>
      </w:pPr>
    </w:p>
    <w:p w:rsidR="00AE6B80" w:rsidRPr="00455318" w:rsidRDefault="00AE6B80" w:rsidP="007B3911">
      <w:pPr>
        <w:pStyle w:val="Akapitzlist"/>
        <w:numPr>
          <w:ilvl w:val="0"/>
          <w:numId w:val="3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Efektywność dofinansowania</w:t>
      </w:r>
    </w:p>
    <w:p w:rsidR="00AE6B80" w:rsidRPr="00455318" w:rsidRDefault="00AE6B80" w:rsidP="00AE6B80">
      <w:p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W związku z dążeniem do stymulowania rozwoju jak największej liczby podmiotów gospodarczych działających w </w:t>
      </w:r>
      <w:r w:rsidR="00ED371A" w:rsidRPr="00945001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obszarze inteligentnych specjalizacji lub branżach bezpośrednio z nimi powiązanych </w:t>
      </w:r>
      <w:r w:rsidR="00ED371A">
        <w:rPr>
          <w:rFonts w:ascii="Myriad Pro" w:eastAsia="Times New Roman" w:hAnsi="Myriad Pro" w:cstheme="minorHAnsi"/>
          <w:color w:val="000000"/>
          <w:sz w:val="20"/>
          <w:szCs w:val="20"/>
        </w:rPr>
        <w:t>/ w</w:t>
      </w:r>
      <w:r w:rsidR="002A7F4B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branży turystycznej punkty przyznawane są w zależności od kwoty dofinansowania o jaką ubiega się Wnioskodawca:</w:t>
      </w:r>
    </w:p>
    <w:p w:rsidR="00AE6B80" w:rsidRPr="00455318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b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mniejsze lub równe 1 mln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 4 pkt</w:t>
      </w:r>
    </w:p>
    <w:p w:rsidR="00AE6B80" w:rsidRPr="00455318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b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 powyżej 1 mln do 2 mln  zł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3 pkt.</w:t>
      </w:r>
    </w:p>
    <w:p w:rsidR="00AE6B80" w:rsidRPr="00455318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powyżej 2 mln do 3 mln zł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2 pkt.</w:t>
      </w:r>
    </w:p>
    <w:p w:rsidR="00AE6B80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powyżej 3 mln zł do 3,5 mln zł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– 1 pkt.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</w:t>
      </w:r>
    </w:p>
    <w:p w:rsidR="008E4D14" w:rsidRDefault="008E4D14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powyżej 3,5 mln do 4 mln zł – </w:t>
      </w:r>
      <w:r w:rsidRPr="00AE311A">
        <w:rPr>
          <w:rFonts w:ascii="Myriad Pro" w:eastAsia="Times New Roman" w:hAnsi="Myriad Pro" w:cstheme="minorHAnsi"/>
          <w:b/>
          <w:color w:val="000000"/>
          <w:sz w:val="20"/>
          <w:szCs w:val="20"/>
        </w:rPr>
        <w:t>0 pkt.</w:t>
      </w:r>
    </w:p>
    <w:p w:rsidR="007F2EA9" w:rsidRPr="00455318" w:rsidRDefault="007F2EA9" w:rsidP="007F2EA9">
      <w:pPr>
        <w:pStyle w:val="Akapitzlist"/>
        <w:rPr>
          <w:rFonts w:ascii="Myriad Pro" w:eastAsia="Times New Roman" w:hAnsi="Myriad Pro" w:cstheme="minorHAnsi"/>
          <w:color w:val="000000"/>
          <w:sz w:val="20"/>
          <w:szCs w:val="20"/>
        </w:rPr>
      </w:pPr>
    </w:p>
    <w:p w:rsidR="00295648" w:rsidRPr="00455318" w:rsidRDefault="00295648" w:rsidP="00455318">
      <w:pPr>
        <w:pStyle w:val="Akapitzlist"/>
        <w:ind w:left="808"/>
        <w:rPr>
          <w:rFonts w:ascii="Myriad Pro" w:eastAsia="Times New Roman" w:hAnsi="Myriad Pro" w:cstheme="minorHAnsi"/>
          <w:sz w:val="20"/>
          <w:szCs w:val="20"/>
        </w:rPr>
      </w:pPr>
    </w:p>
    <w:p w:rsidR="00582D0B" w:rsidRPr="00455318" w:rsidRDefault="0045118C" w:rsidP="00582D0B">
      <w:pPr>
        <w:rPr>
          <w:rFonts w:ascii="Myriad Pro" w:eastAsia="Times New Roman" w:hAnsi="Myriad Pro" w:cstheme="minorHAnsi"/>
          <w:b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sz w:val="20"/>
          <w:szCs w:val="20"/>
        </w:rPr>
        <w:lastRenderedPageBreak/>
        <w:t>III</w:t>
      </w:r>
      <w:r w:rsidR="00C6272C" w:rsidRPr="00455318">
        <w:rPr>
          <w:rFonts w:ascii="Myriad Pro" w:eastAsia="Times New Roman" w:hAnsi="Myriad Pro" w:cstheme="minorHAnsi"/>
          <w:b/>
          <w:sz w:val="20"/>
          <w:szCs w:val="20"/>
        </w:rPr>
        <w:t xml:space="preserve">. </w:t>
      </w:r>
      <w:r w:rsidR="00C6272C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 </w:t>
      </w:r>
      <w:r w:rsidR="00582D0B" w:rsidRPr="00455318">
        <w:rPr>
          <w:rFonts w:ascii="Myriad Pro" w:hAnsi="Myriad Pro" w:cstheme="minorHAnsi"/>
          <w:b/>
          <w:sz w:val="20"/>
          <w:szCs w:val="20"/>
        </w:rPr>
        <w:t>Zastosowanie mechanizmu pomocy zwrotnej:</w:t>
      </w:r>
    </w:p>
    <w:p w:rsidR="00582D0B" w:rsidRPr="00455318" w:rsidRDefault="00582D0B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Pomoc zwrotna to instrument „hybrydowy” pomiędzy instrumentem finansowym (najbardziej pożądanym przez KE), a dotacją (najpopularniejszą wśród przedsiębiorców).</w:t>
      </w:r>
    </w:p>
    <w:p w:rsidR="00582D0B" w:rsidRPr="00455318" w:rsidRDefault="00582D0B" w:rsidP="00582D0B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 xml:space="preserve">Zasady: </w:t>
      </w:r>
    </w:p>
    <w:p w:rsidR="00C64B9E" w:rsidRPr="00455318" w:rsidRDefault="00C64B9E" w:rsidP="00C64B9E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Weryfikacja konieczności zwrotu pomocy odbywa się w oparciu o nowy wskaźnik rezultatu bezpośredniego: </w:t>
      </w:r>
    </w:p>
    <w:p w:rsidR="00C64B9E" w:rsidRPr="00455318" w:rsidRDefault="00C64B9E" w:rsidP="00582D0B">
      <w:pPr>
        <w:rPr>
          <w:rFonts w:ascii="Myriad Pro" w:hAnsi="Myriad Pro" w:cstheme="minorHAnsi"/>
          <w:color w:val="000000"/>
          <w:sz w:val="20"/>
          <w:szCs w:val="20"/>
          <w:lang w:eastAsia="ar-SA"/>
        </w:rPr>
      </w:pPr>
      <w:r w:rsidRPr="00455318">
        <w:rPr>
          <w:rFonts w:ascii="Myriad Pro" w:hAnsi="Myriad Pro" w:cstheme="minorHAnsi"/>
          <w:b/>
          <w:sz w:val="20"/>
          <w:szCs w:val="20"/>
        </w:rPr>
        <w:t>Wielkość zatrudnienia w przedsiębiorstwie utrzymana dzięki realizacji inwestycji (etaty</w:t>
      </w:r>
      <w:r w:rsidRPr="00455318">
        <w:rPr>
          <w:rFonts w:ascii="Myriad Pro" w:hAnsi="Myriad Pro" w:cstheme="minorHAnsi"/>
          <w:sz w:val="20"/>
          <w:szCs w:val="20"/>
        </w:rPr>
        <w:t>)</w:t>
      </w:r>
      <w:r w:rsidRPr="00455318">
        <w:rPr>
          <w:rFonts w:ascii="Myriad Pro" w:hAnsi="Myriad Pro" w:cstheme="minorHAnsi"/>
          <w:color w:val="000000"/>
          <w:sz w:val="20"/>
          <w:szCs w:val="20"/>
          <w:lang w:eastAsia="ar-SA"/>
        </w:rPr>
        <w:t xml:space="preserve"> </w:t>
      </w:r>
    </w:p>
    <w:p w:rsidR="00BD1E08" w:rsidRDefault="00BD1E08" w:rsidP="00582D0B">
      <w:pPr>
        <w:rPr>
          <w:rFonts w:ascii="Myriad Pro" w:hAnsi="Myriad Pro" w:cstheme="minorHAnsi"/>
          <w:sz w:val="20"/>
          <w:szCs w:val="20"/>
        </w:rPr>
      </w:pPr>
    </w:p>
    <w:p w:rsidR="00582D0B" w:rsidRDefault="00582D0B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Jeśli przedsiębiorca przez </w:t>
      </w:r>
      <w:r w:rsidR="009C7F0F">
        <w:rPr>
          <w:rFonts w:ascii="Myriad Pro" w:hAnsi="Myriad Pro" w:cstheme="minorHAnsi"/>
          <w:sz w:val="20"/>
          <w:szCs w:val="20"/>
        </w:rPr>
        <w:t>24</w:t>
      </w:r>
      <w:r w:rsidR="009C7F0F" w:rsidRPr="00455318">
        <w:rPr>
          <w:rFonts w:ascii="Myriad Pro" w:hAnsi="Myriad Pro" w:cstheme="minorHAnsi"/>
          <w:sz w:val="20"/>
          <w:szCs w:val="20"/>
        </w:rPr>
        <w:t xml:space="preserve"> </w:t>
      </w:r>
      <w:r w:rsidR="009C7F0F">
        <w:rPr>
          <w:rFonts w:ascii="Myriad Pro" w:hAnsi="Myriad Pro" w:cstheme="minorHAnsi"/>
          <w:sz w:val="20"/>
          <w:szCs w:val="20"/>
        </w:rPr>
        <w:t>miesią</w:t>
      </w:r>
      <w:r w:rsidR="009C7F0F" w:rsidRPr="00455318">
        <w:rPr>
          <w:rFonts w:ascii="Myriad Pro" w:hAnsi="Myriad Pro" w:cstheme="minorHAnsi"/>
          <w:sz w:val="20"/>
          <w:szCs w:val="20"/>
        </w:rPr>
        <w:t>c</w:t>
      </w:r>
      <w:r w:rsidR="009C7F0F">
        <w:rPr>
          <w:rFonts w:ascii="Myriad Pro" w:hAnsi="Myriad Pro" w:cstheme="minorHAnsi"/>
          <w:sz w:val="20"/>
          <w:szCs w:val="20"/>
        </w:rPr>
        <w:t>e</w:t>
      </w:r>
      <w:r w:rsidR="009C7F0F" w:rsidRPr="00455318">
        <w:rPr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>po zakończeniu projektu</w:t>
      </w:r>
      <w:r w:rsidR="001B6FE9">
        <w:rPr>
          <w:rStyle w:val="Odwoanieprzypisudolnego"/>
          <w:rFonts w:ascii="Myriad Pro" w:hAnsi="Myriad Pro" w:cstheme="minorHAnsi"/>
          <w:sz w:val="20"/>
          <w:szCs w:val="20"/>
        </w:rPr>
        <w:footnoteReference w:id="1"/>
      </w:r>
      <w:r w:rsidRPr="00455318">
        <w:rPr>
          <w:rFonts w:ascii="Myriad Pro" w:hAnsi="Myriad Pro" w:cstheme="minorHAnsi"/>
          <w:sz w:val="20"/>
          <w:szCs w:val="20"/>
        </w:rPr>
        <w:t xml:space="preserve"> nie obniży </w:t>
      </w:r>
      <w:r w:rsidR="00ED371A">
        <w:rPr>
          <w:rFonts w:ascii="Myriad Pro" w:hAnsi="Myriad Pro" w:cstheme="minorHAnsi"/>
          <w:sz w:val="20"/>
          <w:szCs w:val="20"/>
        </w:rPr>
        <w:t xml:space="preserve">wymaganej wielkości </w:t>
      </w:r>
      <w:r w:rsidR="00BD1E08">
        <w:rPr>
          <w:rFonts w:ascii="Myriad Pro" w:hAnsi="Myriad Pro" w:cstheme="minorHAnsi"/>
          <w:sz w:val="20"/>
          <w:szCs w:val="20"/>
        </w:rPr>
        <w:t xml:space="preserve">zatrudnienia </w:t>
      </w:r>
      <w:r w:rsidR="00ED371A">
        <w:rPr>
          <w:rFonts w:ascii="Myriad Pro" w:hAnsi="Myriad Pro" w:cstheme="minorHAnsi"/>
          <w:sz w:val="20"/>
          <w:szCs w:val="20"/>
        </w:rPr>
        <w:t xml:space="preserve"> (zatrudnienia bazowego) </w:t>
      </w:r>
      <w:r w:rsidRPr="00455318">
        <w:rPr>
          <w:rFonts w:ascii="Myriad Pro" w:hAnsi="Myriad Pro" w:cstheme="minorHAnsi"/>
          <w:sz w:val="20"/>
          <w:szCs w:val="20"/>
        </w:rPr>
        <w:t>zatrzyma całą dotację. Jeśli zmniejszy zatrudnienie – zwróci tylko część dotacji pr</w:t>
      </w:r>
      <w:r w:rsidR="00A91F3A">
        <w:rPr>
          <w:rFonts w:ascii="Myriad Pro" w:hAnsi="Myriad Pro" w:cstheme="minorHAnsi"/>
          <w:sz w:val="20"/>
          <w:szCs w:val="20"/>
        </w:rPr>
        <w:t xml:space="preserve">oporcjonalną do zredukowanego </w:t>
      </w:r>
      <w:r w:rsidRPr="00455318">
        <w:rPr>
          <w:rFonts w:ascii="Myriad Pro" w:hAnsi="Myriad Pro" w:cstheme="minorHAnsi"/>
          <w:sz w:val="20"/>
          <w:szCs w:val="20"/>
        </w:rPr>
        <w:t>zatrudnienia</w:t>
      </w:r>
      <w:r w:rsidR="00A91F3A">
        <w:rPr>
          <w:rFonts w:ascii="Myriad Pro" w:hAnsi="Myriad Pro" w:cstheme="minorHAnsi"/>
          <w:sz w:val="20"/>
          <w:szCs w:val="20"/>
        </w:rPr>
        <w:t xml:space="preserve"> względem zatrudnienia bazowego</w:t>
      </w:r>
      <w:r w:rsidRPr="00455318">
        <w:rPr>
          <w:rFonts w:ascii="Myriad Pro" w:hAnsi="Myriad Pro" w:cstheme="minorHAnsi"/>
          <w:sz w:val="20"/>
          <w:szCs w:val="20"/>
        </w:rPr>
        <w:t xml:space="preserve">, z zastrzeżeniem, że zmiana </w:t>
      </w:r>
      <w:r w:rsidR="00783A27">
        <w:rPr>
          <w:rFonts w:ascii="Myriad Pro" w:hAnsi="Myriad Pro" w:cstheme="minorHAnsi"/>
          <w:sz w:val="20"/>
          <w:szCs w:val="20"/>
        </w:rPr>
        <w:t xml:space="preserve">przeciętnego </w:t>
      </w:r>
      <w:r w:rsidR="00783A27" w:rsidRPr="00455318">
        <w:rPr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>zatrudnienia</w:t>
      </w:r>
      <w:r w:rsidR="00783A27">
        <w:rPr>
          <w:rFonts w:ascii="Myriad Pro" w:hAnsi="Myriad Pro" w:cstheme="minorHAnsi"/>
          <w:sz w:val="20"/>
          <w:szCs w:val="20"/>
        </w:rPr>
        <w:t xml:space="preserve"> w okresie 24 miesięcy o</w:t>
      </w:r>
      <w:r w:rsidRPr="00455318">
        <w:rPr>
          <w:rFonts w:ascii="Myriad Pro" w:hAnsi="Myriad Pro" w:cstheme="minorHAnsi"/>
          <w:sz w:val="20"/>
          <w:szCs w:val="20"/>
        </w:rPr>
        <w:t xml:space="preserve"> mniej niż 10%</w:t>
      </w:r>
      <w:r w:rsidR="00A91F3A">
        <w:rPr>
          <w:rFonts w:ascii="Myriad Pro" w:hAnsi="Myriad Pro" w:cstheme="minorHAnsi"/>
          <w:sz w:val="20"/>
          <w:szCs w:val="20"/>
        </w:rPr>
        <w:t xml:space="preserve"> od bazowego </w:t>
      </w:r>
      <w:r w:rsidRPr="00455318">
        <w:rPr>
          <w:rFonts w:ascii="Myriad Pro" w:hAnsi="Myriad Pro" w:cstheme="minorHAnsi"/>
          <w:sz w:val="20"/>
          <w:szCs w:val="20"/>
        </w:rPr>
        <w:t xml:space="preserve"> jest dopuszczalna i nie objęta mechanizmem zwrotnym. </w:t>
      </w:r>
    </w:p>
    <w:p w:rsidR="00234348" w:rsidRPr="00205E22" w:rsidRDefault="00234348" w:rsidP="00234348">
      <w:pPr>
        <w:rPr>
          <w:rFonts w:ascii="Myriad Pro" w:hAnsi="Myriad Pro" w:cstheme="minorHAnsi"/>
          <w:b/>
          <w:sz w:val="20"/>
          <w:szCs w:val="20"/>
        </w:rPr>
      </w:pPr>
      <w:r w:rsidRPr="00205E22">
        <w:rPr>
          <w:rFonts w:ascii="Myriad Pro" w:hAnsi="Myriad Pro" w:cstheme="minorHAnsi"/>
          <w:b/>
          <w:sz w:val="20"/>
          <w:szCs w:val="20"/>
        </w:rPr>
        <w:t>Zatrudnienie bazowe określa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234348" w:rsidRPr="00234348" w:rsidTr="00EA01FA">
        <w:tc>
          <w:tcPr>
            <w:tcW w:w="4503" w:type="dxa"/>
          </w:tcPr>
          <w:p w:rsidR="00234348" w:rsidRPr="00234348" w:rsidRDefault="00234348" w:rsidP="00EA01FA">
            <w:pPr>
              <w:pStyle w:val="Akapitzlist"/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>Wnioskodawca</w:t>
            </w:r>
          </w:p>
        </w:tc>
        <w:tc>
          <w:tcPr>
            <w:tcW w:w="4709" w:type="dxa"/>
          </w:tcPr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>Zatrudnienie bazowe</w:t>
            </w:r>
          </w:p>
        </w:tc>
      </w:tr>
      <w:tr w:rsidR="00234348" w:rsidRPr="00234348" w:rsidTr="00EA01FA">
        <w:tc>
          <w:tcPr>
            <w:tcW w:w="4503" w:type="dxa"/>
          </w:tcPr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>przedsiębiorstwa działające nie krócej niż przez 3 miesiące poprzedzające miesiąc ogłoszenia naboru, w których przeciętne zatrudnienie w okresie 3 miesięcy poprzedzających miesiąc ogłoszenia naboru wynosi co najmniej 3 etaty (EPC).</w:t>
            </w:r>
          </w:p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4709" w:type="dxa"/>
          </w:tcPr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 xml:space="preserve">Przeciętne zatrudnienie w okresie 3 miesięcy poprzedzających miesiąc ogłoszenia naboru. </w:t>
            </w:r>
          </w:p>
        </w:tc>
      </w:tr>
      <w:tr w:rsidR="00234348" w:rsidRPr="00234348" w:rsidTr="00EA01FA">
        <w:tc>
          <w:tcPr>
            <w:tcW w:w="4503" w:type="dxa"/>
          </w:tcPr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>przedsiębiorstwa działające nie krócej niż przez 3 miesiące poprzedzające miesiąc ogłoszenia naboru, w których przeciętne zatrudnienie w okresie 3 miesięcy poprzedzających miesiąc ogłoszenia naboru wynosi mniej  niż 3 etaty (EPC), pod warunkiem zadeklarowania we wniosku o dofinansowanie osiągnięcia zatrudnienia co najmniej na poziomie 3 etatów (EPC) w momencie zakończenia projektu.</w:t>
            </w:r>
          </w:p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4709" w:type="dxa"/>
          </w:tcPr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 xml:space="preserve">Przeciętne zatrudnienie osiągnięte w zadeklarowanej wysokości minimum 3 etatów (EPC) w przedsiębiorstwie w miesiącu zakończenia projektu. </w:t>
            </w:r>
          </w:p>
        </w:tc>
      </w:tr>
      <w:tr w:rsidR="00234348" w:rsidTr="00EA01FA">
        <w:tc>
          <w:tcPr>
            <w:tcW w:w="4503" w:type="dxa"/>
          </w:tcPr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>przedsiębiorstwa działające krócej niż przez 3 miesiące poprzedzające miesiąc ogłoszenia naboru, pod warunkiem zadeklarowania we wniosku o dofinansowanie osiągnięcia zatrudnienia co najmniej na poziomie 3 etatów (EPC) w momencie zakończenia projektu.</w:t>
            </w:r>
          </w:p>
          <w:p w:rsidR="00234348" w:rsidRP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  <w:tc>
          <w:tcPr>
            <w:tcW w:w="4709" w:type="dxa"/>
          </w:tcPr>
          <w:p w:rsid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234348">
              <w:rPr>
                <w:rFonts w:ascii="Myriad Pro" w:hAnsi="Myriad Pro" w:cstheme="minorHAnsi"/>
                <w:sz w:val="20"/>
                <w:szCs w:val="20"/>
              </w:rPr>
              <w:t>Przeciętne zatrudnienie osiągnięte w wysokości zadeklarowanej minimum 3 etatów (EPC ) w przedsiębiorstwie w miesiącu zakończenia projektu.</w:t>
            </w:r>
            <w:r>
              <w:rPr>
                <w:rFonts w:ascii="Myriad Pro" w:hAnsi="Myriad Pro" w:cstheme="minorHAnsi"/>
                <w:sz w:val="20"/>
                <w:szCs w:val="20"/>
              </w:rPr>
              <w:t xml:space="preserve"> </w:t>
            </w:r>
          </w:p>
          <w:p w:rsidR="00234348" w:rsidRDefault="00234348" w:rsidP="00EA01FA">
            <w:pPr>
              <w:rPr>
                <w:rFonts w:ascii="Myriad Pro" w:hAnsi="Myriad Pro" w:cstheme="minorHAnsi"/>
                <w:sz w:val="20"/>
                <w:szCs w:val="20"/>
              </w:rPr>
            </w:pPr>
          </w:p>
        </w:tc>
      </w:tr>
    </w:tbl>
    <w:p w:rsidR="00BD1E08" w:rsidRDefault="00BD1E08" w:rsidP="00582D0B">
      <w:pPr>
        <w:rPr>
          <w:rFonts w:ascii="Myriad Pro" w:hAnsi="Myriad Pro" w:cstheme="minorHAnsi"/>
          <w:sz w:val="20"/>
          <w:szCs w:val="20"/>
        </w:rPr>
      </w:pPr>
    </w:p>
    <w:p w:rsidR="00582D0B" w:rsidRPr="00455318" w:rsidRDefault="00E75364" w:rsidP="00582D0B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Wymagany do osiągniecia p</w:t>
      </w:r>
      <w:r w:rsidR="00A91F3A">
        <w:rPr>
          <w:rFonts w:ascii="Myriad Pro" w:hAnsi="Myriad Pro" w:cstheme="minorHAnsi"/>
          <w:sz w:val="20"/>
          <w:szCs w:val="20"/>
        </w:rPr>
        <w:t xml:space="preserve">oziom zatrudnienia </w:t>
      </w:r>
      <w:r w:rsidR="005473E8">
        <w:rPr>
          <w:rFonts w:ascii="Myriad Pro" w:hAnsi="Myriad Pro" w:cstheme="minorHAnsi"/>
          <w:sz w:val="20"/>
          <w:szCs w:val="20"/>
        </w:rPr>
        <w:t xml:space="preserve">bazowego </w:t>
      </w:r>
      <w:r w:rsidR="00A91F3A">
        <w:rPr>
          <w:rFonts w:ascii="Myriad Pro" w:hAnsi="Myriad Pro" w:cstheme="minorHAnsi"/>
          <w:sz w:val="20"/>
          <w:szCs w:val="20"/>
        </w:rPr>
        <w:t>będzie weryfikowany</w:t>
      </w:r>
      <w:r w:rsidR="00783A27">
        <w:rPr>
          <w:rFonts w:ascii="Myriad Pro" w:hAnsi="Myriad Pro" w:cstheme="minorHAnsi"/>
          <w:sz w:val="20"/>
          <w:szCs w:val="20"/>
        </w:rPr>
        <w:t xml:space="preserve"> </w:t>
      </w:r>
      <w:r w:rsidR="005473E8">
        <w:rPr>
          <w:rFonts w:ascii="Myriad Pro" w:hAnsi="Myriad Pro" w:cstheme="minorHAnsi"/>
          <w:sz w:val="20"/>
          <w:szCs w:val="20"/>
        </w:rPr>
        <w:t xml:space="preserve">na podstawie osiągniętej przez przedsiębiorstwo  </w:t>
      </w:r>
      <w:r w:rsidR="00783A27">
        <w:rPr>
          <w:rFonts w:ascii="Myriad Pro" w:hAnsi="Myriad Pro" w:cstheme="minorHAnsi"/>
          <w:sz w:val="20"/>
          <w:szCs w:val="20"/>
        </w:rPr>
        <w:t>przeciętne</w:t>
      </w:r>
      <w:r w:rsidR="005473E8">
        <w:rPr>
          <w:rFonts w:ascii="Myriad Pro" w:hAnsi="Myriad Pro" w:cstheme="minorHAnsi"/>
          <w:sz w:val="20"/>
          <w:szCs w:val="20"/>
        </w:rPr>
        <w:t>j</w:t>
      </w:r>
      <w:r w:rsidR="00DA3E8A">
        <w:rPr>
          <w:rFonts w:ascii="Myriad Pro" w:hAnsi="Myriad Pro" w:cstheme="minorHAnsi"/>
          <w:sz w:val="20"/>
          <w:szCs w:val="20"/>
        </w:rPr>
        <w:t>/średnie</w:t>
      </w:r>
      <w:r w:rsidR="005473E8">
        <w:rPr>
          <w:rFonts w:ascii="Myriad Pro" w:hAnsi="Myriad Pro" w:cstheme="minorHAnsi"/>
          <w:sz w:val="20"/>
          <w:szCs w:val="20"/>
        </w:rPr>
        <w:t>j wielkości</w:t>
      </w:r>
      <w:r w:rsidR="00DA3E8A">
        <w:rPr>
          <w:rFonts w:ascii="Myriad Pro" w:hAnsi="Myriad Pro" w:cstheme="minorHAnsi"/>
          <w:sz w:val="20"/>
          <w:szCs w:val="20"/>
        </w:rPr>
        <w:t xml:space="preserve"> </w:t>
      </w:r>
      <w:r w:rsidR="00783A27">
        <w:rPr>
          <w:rFonts w:ascii="Myriad Pro" w:hAnsi="Myriad Pro" w:cstheme="minorHAnsi"/>
          <w:sz w:val="20"/>
          <w:szCs w:val="20"/>
        </w:rPr>
        <w:t xml:space="preserve"> zatrudnieni</w:t>
      </w:r>
      <w:r w:rsidR="005473E8">
        <w:rPr>
          <w:rFonts w:ascii="Myriad Pro" w:hAnsi="Myriad Pro" w:cstheme="minorHAnsi"/>
          <w:sz w:val="20"/>
          <w:szCs w:val="20"/>
        </w:rPr>
        <w:t xml:space="preserve">a </w:t>
      </w:r>
      <w:r w:rsidR="00783A27">
        <w:rPr>
          <w:rFonts w:ascii="Myriad Pro" w:hAnsi="Myriad Pro" w:cstheme="minorHAnsi"/>
          <w:sz w:val="20"/>
          <w:szCs w:val="20"/>
        </w:rPr>
        <w:t xml:space="preserve"> dla 24 miesięcy</w:t>
      </w:r>
      <w:r w:rsidR="00DA3E8A">
        <w:rPr>
          <w:rFonts w:ascii="Myriad Pro" w:hAnsi="Myriad Pro" w:cstheme="minorHAnsi"/>
          <w:sz w:val="20"/>
          <w:szCs w:val="20"/>
        </w:rPr>
        <w:t xml:space="preserve"> następujących po zakończeni</w:t>
      </w:r>
      <w:r w:rsidR="00B16AD1">
        <w:rPr>
          <w:rFonts w:ascii="Myriad Pro" w:hAnsi="Myriad Pro" w:cstheme="minorHAnsi"/>
          <w:sz w:val="20"/>
          <w:szCs w:val="20"/>
        </w:rPr>
        <w:t>u</w:t>
      </w:r>
      <w:r w:rsidR="00DA3E8A">
        <w:rPr>
          <w:rFonts w:ascii="Myriad Pro" w:hAnsi="Myriad Pro" w:cstheme="minorHAnsi"/>
          <w:sz w:val="20"/>
          <w:szCs w:val="20"/>
        </w:rPr>
        <w:t xml:space="preserve"> realizacji projektu </w:t>
      </w:r>
      <w:r w:rsidR="00582D0B" w:rsidRPr="00455318">
        <w:rPr>
          <w:rFonts w:ascii="Myriad Pro" w:hAnsi="Myriad Pro" w:cstheme="minorHAnsi"/>
          <w:sz w:val="20"/>
          <w:szCs w:val="20"/>
        </w:rPr>
        <w:t>, tzn. że w przypadku zmian zatrudnienia</w:t>
      </w:r>
      <w:r w:rsidR="00783A27">
        <w:rPr>
          <w:rFonts w:ascii="Myriad Pro" w:hAnsi="Myriad Pro" w:cstheme="minorHAnsi"/>
          <w:sz w:val="20"/>
          <w:szCs w:val="20"/>
        </w:rPr>
        <w:t xml:space="preserve"> w trakcie tego okresu</w:t>
      </w:r>
      <w:r w:rsidR="00582D0B" w:rsidRPr="00455318">
        <w:rPr>
          <w:rFonts w:ascii="Myriad Pro" w:hAnsi="Myriad Pro" w:cstheme="minorHAnsi"/>
          <w:sz w:val="20"/>
          <w:szCs w:val="20"/>
        </w:rPr>
        <w:t xml:space="preserve"> Beneficjent ma możliwość zatrudnienia nowych osób i powrotu do zatrudnienia bazowego. </w:t>
      </w:r>
    </w:p>
    <w:p w:rsidR="00C64B9E" w:rsidRPr="00455318" w:rsidRDefault="00C64B9E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Podstawą dla wskaźnika jest współczynnik </w:t>
      </w:r>
      <w:r w:rsidR="00A95962">
        <w:rPr>
          <w:rFonts w:ascii="Myriad Pro" w:hAnsi="Myriad Pro" w:cstheme="minorHAnsi"/>
          <w:sz w:val="20"/>
          <w:szCs w:val="20"/>
        </w:rPr>
        <w:t>EPC</w:t>
      </w:r>
      <w:r w:rsidR="00A95962" w:rsidRPr="00455318">
        <w:rPr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 xml:space="preserve">(ekwiwalent pełnego czasu pracy) dokładnie zdefiniowany w regulaminie naboru, obejmujący osoby zatrudnione w oparciu o kodeks pracy oraz samozatrudnionych </w:t>
      </w:r>
      <w:r w:rsidR="00E75364">
        <w:rPr>
          <w:rFonts w:ascii="Myriad Pro" w:hAnsi="Myriad Pro" w:cstheme="minorHAnsi"/>
          <w:sz w:val="20"/>
          <w:szCs w:val="20"/>
        </w:rPr>
        <w:t xml:space="preserve">a także  osoby </w:t>
      </w:r>
      <w:r w:rsidRPr="00455318">
        <w:rPr>
          <w:rFonts w:ascii="Myriad Pro" w:hAnsi="Myriad Pro" w:cstheme="minorHAnsi"/>
          <w:sz w:val="20"/>
          <w:szCs w:val="20"/>
        </w:rPr>
        <w:t xml:space="preserve"> </w:t>
      </w:r>
      <w:r w:rsidR="00E75364">
        <w:rPr>
          <w:rFonts w:ascii="Myriad Pro" w:hAnsi="Myriad Pro" w:cstheme="minorHAnsi"/>
          <w:sz w:val="20"/>
          <w:szCs w:val="20"/>
        </w:rPr>
        <w:t xml:space="preserve">prowadzące </w:t>
      </w:r>
      <w:r w:rsidRPr="00455318">
        <w:rPr>
          <w:rFonts w:ascii="Myriad Pro" w:hAnsi="Myriad Pro" w:cstheme="minorHAnsi"/>
          <w:sz w:val="20"/>
          <w:szCs w:val="20"/>
        </w:rPr>
        <w:t xml:space="preserve">jednoosobową działalność gospodarczą, </w:t>
      </w:r>
      <w:r w:rsidR="00E75364">
        <w:rPr>
          <w:rFonts w:ascii="Myriad Pro" w:hAnsi="Myriad Pro" w:cstheme="minorHAnsi"/>
          <w:sz w:val="20"/>
          <w:szCs w:val="20"/>
        </w:rPr>
        <w:t xml:space="preserve">wspólników </w:t>
      </w:r>
      <w:r w:rsidRPr="00455318">
        <w:rPr>
          <w:rFonts w:ascii="Myriad Pro" w:hAnsi="Myriad Pro" w:cstheme="minorHAnsi"/>
          <w:sz w:val="20"/>
          <w:szCs w:val="20"/>
        </w:rPr>
        <w:t>spół</w:t>
      </w:r>
      <w:r w:rsidR="00E75364">
        <w:rPr>
          <w:rFonts w:ascii="Myriad Pro" w:hAnsi="Myriad Pro" w:cstheme="minorHAnsi"/>
          <w:sz w:val="20"/>
          <w:szCs w:val="20"/>
        </w:rPr>
        <w:t xml:space="preserve">ek </w:t>
      </w:r>
      <w:r w:rsidRPr="00455318">
        <w:rPr>
          <w:rFonts w:ascii="Myriad Pro" w:hAnsi="Myriad Pro" w:cstheme="minorHAnsi"/>
          <w:sz w:val="20"/>
          <w:szCs w:val="20"/>
        </w:rPr>
        <w:t xml:space="preserve"> cywiln</w:t>
      </w:r>
      <w:r w:rsidR="00E75364">
        <w:rPr>
          <w:rFonts w:ascii="Myriad Pro" w:hAnsi="Myriad Pro" w:cstheme="minorHAnsi"/>
          <w:sz w:val="20"/>
          <w:szCs w:val="20"/>
        </w:rPr>
        <w:t>ych</w:t>
      </w:r>
      <w:r w:rsidRPr="00455318">
        <w:rPr>
          <w:rFonts w:ascii="Myriad Pro" w:hAnsi="Myriad Pro" w:cstheme="minorHAnsi"/>
          <w:sz w:val="20"/>
          <w:szCs w:val="20"/>
        </w:rPr>
        <w:t xml:space="preserve">, wspólników spółek prowadzonych w oparciu o KSH. </w:t>
      </w:r>
    </w:p>
    <w:p w:rsidR="003A4068" w:rsidRPr="00455318" w:rsidRDefault="003A4068" w:rsidP="003A4068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lastRenderedPageBreak/>
        <w:t>Przykład</w:t>
      </w:r>
      <w:r>
        <w:rPr>
          <w:rFonts w:ascii="Myriad Pro" w:hAnsi="Myriad Pro" w:cstheme="minorHAnsi"/>
          <w:b/>
          <w:sz w:val="20"/>
          <w:szCs w:val="20"/>
        </w:rPr>
        <w:t xml:space="preserve"> 1</w:t>
      </w:r>
      <w:r w:rsidRPr="00455318">
        <w:rPr>
          <w:rFonts w:ascii="Myriad Pro" w:hAnsi="Myriad Pro" w:cstheme="minorHAnsi"/>
          <w:b/>
          <w:sz w:val="20"/>
          <w:szCs w:val="20"/>
        </w:rPr>
        <w:t>: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Przedsiębiorca zatrudnia 8 pracowników (współczynnik </w:t>
      </w:r>
      <w:r>
        <w:rPr>
          <w:rFonts w:ascii="Myriad Pro" w:hAnsi="Myriad Pro" w:cstheme="minorHAnsi"/>
          <w:sz w:val="20"/>
          <w:szCs w:val="20"/>
        </w:rPr>
        <w:t>EPC</w:t>
      </w:r>
      <w:r w:rsidRPr="00455318">
        <w:rPr>
          <w:rFonts w:ascii="Myriad Pro" w:hAnsi="Myriad Pro" w:cstheme="minorHAnsi"/>
          <w:sz w:val="20"/>
          <w:szCs w:val="20"/>
        </w:rPr>
        <w:t xml:space="preserve"> dla 3 ostatnich miesięcy) </w:t>
      </w:r>
      <w:r>
        <w:rPr>
          <w:rFonts w:ascii="Myriad Pro" w:hAnsi="Myriad Pro" w:cstheme="minorHAnsi"/>
          <w:sz w:val="20"/>
          <w:szCs w:val="20"/>
        </w:rPr>
        <w:t xml:space="preserve">i </w:t>
      </w:r>
      <w:r w:rsidRPr="00455318">
        <w:rPr>
          <w:rFonts w:ascii="Myriad Pro" w:hAnsi="Myriad Pro" w:cstheme="minorHAnsi"/>
          <w:sz w:val="20"/>
          <w:szCs w:val="20"/>
        </w:rPr>
        <w:t xml:space="preserve">aplikuje o dofinansowanie budowy nowej inwestycji </w:t>
      </w:r>
      <w:r>
        <w:rPr>
          <w:rFonts w:ascii="Myriad Pro" w:hAnsi="Myriad Pro" w:cstheme="minorHAnsi"/>
          <w:sz w:val="20"/>
          <w:szCs w:val="20"/>
        </w:rPr>
        <w:t xml:space="preserve">o wartości </w:t>
      </w:r>
      <w:r w:rsidRPr="00455318">
        <w:rPr>
          <w:rFonts w:ascii="Myriad Pro" w:hAnsi="Myriad Pro" w:cstheme="minorHAnsi"/>
          <w:sz w:val="20"/>
          <w:szCs w:val="20"/>
        </w:rPr>
        <w:t xml:space="preserve">1 mln zł. Po zakończeniu realizacji projektu nadal zatrudnia 8 osób , ale po 6 miesiącach od zakończenia projektu likwiduje jedno stanowisko pracy i zatrudnia już tylko 7 </w:t>
      </w:r>
      <w:r>
        <w:rPr>
          <w:rFonts w:ascii="Myriad Pro" w:hAnsi="Myriad Pro" w:cstheme="minorHAnsi"/>
          <w:sz w:val="20"/>
          <w:szCs w:val="20"/>
        </w:rPr>
        <w:t>osób</w:t>
      </w:r>
      <w:r w:rsidRPr="00455318">
        <w:rPr>
          <w:rFonts w:ascii="Myriad Pro" w:hAnsi="Myriad Pro" w:cstheme="minorHAnsi"/>
          <w:sz w:val="20"/>
          <w:szCs w:val="20"/>
        </w:rPr>
        <w:t xml:space="preserve">. </w:t>
      </w:r>
      <w:r>
        <w:rPr>
          <w:rFonts w:ascii="Myriad Pro" w:hAnsi="Myriad Pro" w:cstheme="minorHAnsi"/>
          <w:sz w:val="20"/>
          <w:szCs w:val="20"/>
        </w:rPr>
        <w:t xml:space="preserve">Po roku od zakończenia realizacji projektu zatrudnia 2 nowe osoby i utrzymuje ten stan do końca wymaganego okresu, tj. do 24 miesięcy po zakończeniu projektu. Weryfikacja pomocy zwrotnej w tym przypadku opiera się na poniższym schemacie: 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Przeciętne zatrudnienie w ciągu 24 miesięcy: (8 etatów * 6 miesięcy + 7 etatów *6 miesięcy+ 9 etatów *12 miesięcy)/24 miesiące =8,25 etatów</w:t>
      </w:r>
    </w:p>
    <w:p w:rsidR="003A4068" w:rsidRPr="007F2EA9" w:rsidRDefault="003A4068" w:rsidP="003A4068">
      <w:pPr>
        <w:rPr>
          <w:rFonts w:ascii="Myriad Pro" w:hAnsi="Myriad Pro" w:cstheme="minorHAnsi"/>
          <w:sz w:val="20"/>
          <w:szCs w:val="20"/>
          <w:u w:val="single"/>
        </w:rPr>
      </w:pPr>
      <w:r w:rsidRPr="007F2EA9">
        <w:rPr>
          <w:rFonts w:ascii="Myriad Pro" w:hAnsi="Myriad Pro" w:cstheme="minorHAnsi"/>
          <w:sz w:val="20"/>
          <w:szCs w:val="20"/>
          <w:u w:val="single"/>
        </w:rPr>
        <w:t>Przedsiębiorca zachowuje całość dotacji</w:t>
      </w:r>
    </w:p>
    <w:p w:rsidR="003A4068" w:rsidRPr="00455318" w:rsidRDefault="003A4068" w:rsidP="003A4068">
      <w:pPr>
        <w:spacing w:after="0"/>
        <w:rPr>
          <w:rFonts w:ascii="Myriad Pro" w:hAnsi="Myriad Pro" w:cstheme="minorHAnsi"/>
          <w:sz w:val="20"/>
          <w:szCs w:val="20"/>
        </w:rPr>
      </w:pPr>
    </w:p>
    <w:p w:rsidR="003A4068" w:rsidRPr="007F2EA9" w:rsidRDefault="003A4068" w:rsidP="003A4068">
      <w:pPr>
        <w:rPr>
          <w:rFonts w:ascii="Myriad Pro" w:hAnsi="Myriad Pro" w:cstheme="minorHAnsi"/>
          <w:b/>
          <w:sz w:val="20"/>
          <w:szCs w:val="20"/>
        </w:rPr>
      </w:pPr>
      <w:r w:rsidRPr="007F2EA9">
        <w:rPr>
          <w:rFonts w:ascii="Myriad Pro" w:hAnsi="Myriad Pro" w:cstheme="minorHAnsi"/>
          <w:b/>
          <w:sz w:val="20"/>
          <w:szCs w:val="20"/>
        </w:rPr>
        <w:t>Przykład 2: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Przedsiębiorca zatrudnia </w:t>
      </w:r>
      <w:r>
        <w:rPr>
          <w:rFonts w:ascii="Myriad Pro" w:hAnsi="Myriad Pro" w:cstheme="minorHAnsi"/>
          <w:sz w:val="20"/>
          <w:szCs w:val="20"/>
        </w:rPr>
        <w:t>2</w:t>
      </w:r>
      <w:r w:rsidRPr="00455318">
        <w:rPr>
          <w:rFonts w:ascii="Myriad Pro" w:hAnsi="Myriad Pro" w:cstheme="minorHAnsi"/>
          <w:sz w:val="20"/>
          <w:szCs w:val="20"/>
        </w:rPr>
        <w:t xml:space="preserve"> pracowników (współczynnik </w:t>
      </w:r>
      <w:r>
        <w:rPr>
          <w:rFonts w:ascii="Myriad Pro" w:hAnsi="Myriad Pro" w:cstheme="minorHAnsi"/>
          <w:sz w:val="20"/>
          <w:szCs w:val="20"/>
        </w:rPr>
        <w:t xml:space="preserve">EPC </w:t>
      </w:r>
      <w:r w:rsidRPr="00455318">
        <w:rPr>
          <w:rFonts w:ascii="Myriad Pro" w:hAnsi="Myriad Pro" w:cstheme="minorHAnsi"/>
          <w:sz w:val="20"/>
          <w:szCs w:val="20"/>
        </w:rPr>
        <w:t xml:space="preserve">dla 3 ostatnich miesięcy) </w:t>
      </w:r>
      <w:r>
        <w:rPr>
          <w:rFonts w:ascii="Myriad Pro" w:hAnsi="Myriad Pro" w:cstheme="minorHAnsi"/>
          <w:sz w:val="20"/>
          <w:szCs w:val="20"/>
        </w:rPr>
        <w:t xml:space="preserve">i </w:t>
      </w:r>
      <w:r w:rsidRPr="00455318">
        <w:rPr>
          <w:rFonts w:ascii="Myriad Pro" w:hAnsi="Myriad Pro" w:cstheme="minorHAnsi"/>
          <w:sz w:val="20"/>
          <w:szCs w:val="20"/>
        </w:rPr>
        <w:t xml:space="preserve">aplikuje o dofinansowanie budowy nowej inwestycji </w:t>
      </w:r>
      <w:r>
        <w:rPr>
          <w:rFonts w:ascii="Myriad Pro" w:hAnsi="Myriad Pro" w:cstheme="minorHAnsi"/>
          <w:sz w:val="20"/>
          <w:szCs w:val="20"/>
        </w:rPr>
        <w:t>o wartości</w:t>
      </w:r>
      <w:r w:rsidRPr="00455318">
        <w:rPr>
          <w:rFonts w:ascii="Myriad Pro" w:hAnsi="Myriad Pro" w:cstheme="minorHAnsi"/>
          <w:sz w:val="20"/>
          <w:szCs w:val="20"/>
        </w:rPr>
        <w:t xml:space="preserve"> 1</w:t>
      </w:r>
      <w:r>
        <w:rPr>
          <w:rFonts w:ascii="Myriad Pro" w:hAnsi="Myriad Pro" w:cstheme="minorHAnsi"/>
          <w:sz w:val="20"/>
          <w:szCs w:val="20"/>
        </w:rPr>
        <w:t>,2</w:t>
      </w:r>
      <w:r w:rsidRPr="00455318">
        <w:rPr>
          <w:rFonts w:ascii="Myriad Pro" w:hAnsi="Myriad Pro" w:cstheme="minorHAnsi"/>
          <w:sz w:val="20"/>
          <w:szCs w:val="20"/>
        </w:rPr>
        <w:t xml:space="preserve"> mln zł. </w:t>
      </w:r>
      <w:r>
        <w:rPr>
          <w:rFonts w:ascii="Myriad Pro" w:hAnsi="Myriad Pro" w:cstheme="minorHAnsi"/>
          <w:sz w:val="20"/>
          <w:szCs w:val="20"/>
        </w:rPr>
        <w:t xml:space="preserve">Przedsiębiorca zadeklarował we wniosku o dofinansowanie, że na zakończenie projektu osiągnie zatrudnienie na poziomie  3 etatów (zatrudnienie bazowe). 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Po zakończeniu realizacji projektu </w:t>
      </w:r>
      <w:r>
        <w:rPr>
          <w:rFonts w:ascii="Myriad Pro" w:hAnsi="Myriad Pro" w:cstheme="minorHAnsi"/>
          <w:sz w:val="20"/>
          <w:szCs w:val="20"/>
        </w:rPr>
        <w:t xml:space="preserve">weryfikacji podlega, czy przedsiębiorca osiągnął wartość bazową zatrudnienia, tzn. czy na moment zakończenia projektu zatrudnia 3 osoby (etaty). Gdyby zatrudnienie bazowe w momencie zakończenia projektu było niższe niż 3, przedsiębiorca musiałby zwrócić całą dotację. 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Jeśli zatrudnienie bazowe zostało osiągnięte, wówczas przedsiębiorca jest zobowiązany do utrzymania tego zatrudnienia przez okres 24 miesięcy. Załóżmy, że w omawianym przykładzie,</w:t>
      </w:r>
      <w:r w:rsidRPr="00455318">
        <w:rPr>
          <w:rFonts w:ascii="Myriad Pro" w:hAnsi="Myriad Pro" w:cstheme="minorHAnsi"/>
          <w:sz w:val="20"/>
          <w:szCs w:val="20"/>
        </w:rPr>
        <w:t xml:space="preserve"> po </w:t>
      </w:r>
      <w:r>
        <w:rPr>
          <w:rFonts w:ascii="Myriad Pro" w:hAnsi="Myriad Pro" w:cstheme="minorHAnsi"/>
          <w:sz w:val="20"/>
          <w:szCs w:val="20"/>
        </w:rPr>
        <w:t>12</w:t>
      </w:r>
      <w:r w:rsidRPr="00455318">
        <w:rPr>
          <w:rFonts w:ascii="Myriad Pro" w:hAnsi="Myriad Pro" w:cstheme="minorHAnsi"/>
          <w:sz w:val="20"/>
          <w:szCs w:val="20"/>
        </w:rPr>
        <w:t xml:space="preserve"> miesiącach od zakończenia projektu </w:t>
      </w:r>
      <w:r>
        <w:rPr>
          <w:rFonts w:ascii="Myriad Pro" w:hAnsi="Myriad Pro" w:cstheme="minorHAnsi"/>
          <w:sz w:val="20"/>
          <w:szCs w:val="20"/>
        </w:rPr>
        <w:t>przedsiębiorca zlikwidował 1  stanowisko</w:t>
      </w:r>
      <w:r w:rsidRPr="00455318">
        <w:rPr>
          <w:rFonts w:ascii="Myriad Pro" w:hAnsi="Myriad Pro" w:cstheme="minorHAnsi"/>
          <w:sz w:val="20"/>
          <w:szCs w:val="20"/>
        </w:rPr>
        <w:t xml:space="preserve"> pracy i zatrudnia już tylko </w:t>
      </w:r>
      <w:r>
        <w:rPr>
          <w:rFonts w:ascii="Myriad Pro" w:hAnsi="Myriad Pro" w:cstheme="minorHAnsi"/>
          <w:sz w:val="20"/>
          <w:szCs w:val="20"/>
        </w:rPr>
        <w:t>2</w:t>
      </w:r>
      <w:r w:rsidRPr="00455318">
        <w:rPr>
          <w:rFonts w:ascii="Myriad Pro" w:hAnsi="Myriad Pro" w:cstheme="minorHAnsi"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>dwie osoby</w:t>
      </w:r>
      <w:r w:rsidRPr="00455318">
        <w:rPr>
          <w:rFonts w:ascii="Myriad Pro" w:hAnsi="Myriad Pro" w:cstheme="minorHAnsi"/>
          <w:sz w:val="20"/>
          <w:szCs w:val="20"/>
        </w:rPr>
        <w:t xml:space="preserve">. </w:t>
      </w:r>
      <w:r>
        <w:rPr>
          <w:rFonts w:ascii="Myriad Pro" w:hAnsi="Myriad Pro" w:cstheme="minorHAnsi"/>
          <w:sz w:val="20"/>
          <w:szCs w:val="20"/>
        </w:rPr>
        <w:t xml:space="preserve">Do końca wymaganego okresu przedsiębiorcy nie udaje się uzupełnić poziomu zatrudnienia.  Weryfikacja pomocy zwrotnej w tym przypadku opiera się na poniższym schemacie: 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Przeciętne zatrudnienie w ciągu 24 miesięcy: (3 etaty*12 miesięcy+ 2 etaty*12 miesięcy)/24 miesiące= 2,5 etatu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Wysokość zwrotu (bez odsetek, ani innych sankcji) oblicza się następująco: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Dotacja 1,2 mln zł 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Część dotacji przypadająca na 1 miejsce pracy= 400 tys. zł</w:t>
      </w:r>
    </w:p>
    <w:p w:rsidR="003A4068" w:rsidRDefault="003A4068" w:rsidP="003A4068">
      <w:pPr>
        <w:rPr>
          <w:rFonts w:ascii="Myriad Pro" w:hAnsi="Myriad Pro" w:cstheme="minorHAnsi"/>
          <w:sz w:val="20"/>
          <w:szCs w:val="20"/>
        </w:rPr>
      </w:pPr>
      <w:r w:rsidRPr="007F2EA9">
        <w:rPr>
          <w:rFonts w:ascii="Myriad Pro" w:hAnsi="Myriad Pro" w:cstheme="minorHAnsi"/>
          <w:b/>
          <w:sz w:val="20"/>
          <w:szCs w:val="20"/>
        </w:rPr>
        <w:t>Wysokość zwrotu</w:t>
      </w:r>
      <w:r>
        <w:rPr>
          <w:rFonts w:ascii="Myriad Pro" w:hAnsi="Myriad Pro" w:cstheme="minorHAnsi"/>
          <w:sz w:val="20"/>
          <w:szCs w:val="20"/>
        </w:rPr>
        <w:t>: (zatrudnienie bazowe – zatrudnienie przeciętne) * część dotacji przypadająca na 1 etat</w:t>
      </w:r>
    </w:p>
    <w:p w:rsidR="00575B75" w:rsidRPr="00234348" w:rsidRDefault="003A4068" w:rsidP="00582D0B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(3 etaty- 2,5 etatu ) * </w:t>
      </w:r>
      <w:r>
        <w:rPr>
          <w:rFonts w:ascii="Myriad Pro" w:hAnsi="Myriad Pro" w:cstheme="minorHAnsi"/>
          <w:b/>
          <w:sz w:val="20"/>
          <w:szCs w:val="20"/>
        </w:rPr>
        <w:t>400</w:t>
      </w:r>
      <w:r w:rsidRPr="007F2EA9">
        <w:rPr>
          <w:rFonts w:ascii="Myriad Pro" w:hAnsi="Myriad Pro" w:cstheme="minorHAnsi"/>
          <w:b/>
          <w:sz w:val="20"/>
          <w:szCs w:val="20"/>
        </w:rPr>
        <w:t> 000 zł</w:t>
      </w:r>
      <w:r>
        <w:rPr>
          <w:rFonts w:ascii="Myriad Pro" w:hAnsi="Myriad Pro" w:cstheme="minorHAnsi"/>
          <w:b/>
          <w:sz w:val="20"/>
          <w:szCs w:val="20"/>
        </w:rPr>
        <w:t xml:space="preserve"> = 200 000 zł</w:t>
      </w:r>
    </w:p>
    <w:p w:rsidR="00AE6B80" w:rsidRPr="00455318" w:rsidRDefault="00382F21" w:rsidP="00582D0B">
      <w:pPr>
        <w:rPr>
          <w:rFonts w:ascii="Myriad Pro" w:hAnsi="Myriad Pro" w:cstheme="minorHAnsi"/>
          <w:b/>
          <w:sz w:val="20"/>
          <w:szCs w:val="20"/>
        </w:rPr>
      </w:pPr>
      <w:r>
        <w:rPr>
          <w:rFonts w:ascii="Myriad Pro" w:hAnsi="Myriad Pro" w:cstheme="minorHAnsi"/>
          <w:b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3EA2D0B" wp14:editId="49CEBA7D">
                <wp:simplePos x="0" y="0"/>
                <wp:positionH relativeFrom="column">
                  <wp:posOffset>5039767</wp:posOffset>
                </wp:positionH>
                <wp:positionV relativeFrom="paragraph">
                  <wp:posOffset>185425</wp:posOffset>
                </wp:positionV>
                <wp:extent cx="360" cy="360"/>
                <wp:effectExtent l="0" t="0" r="0" b="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395.9pt;margin-top:13.6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">
                <v:imagedata r:id="rId11" o:title=""/>
              </v:shape>
            </w:pict>
          </mc:Fallback>
        </mc:AlternateContent>
      </w:r>
      <w:r w:rsidR="0045118C" w:rsidRPr="00455318">
        <w:rPr>
          <w:rFonts w:ascii="Myriad Pro" w:hAnsi="Myriad Pro" w:cstheme="minorHAnsi"/>
          <w:b/>
          <w:sz w:val="20"/>
          <w:szCs w:val="20"/>
        </w:rPr>
        <w:t>I</w:t>
      </w:r>
      <w:r w:rsidR="00AE6B80" w:rsidRPr="00455318">
        <w:rPr>
          <w:rFonts w:ascii="Myriad Pro" w:hAnsi="Myriad Pro" w:cstheme="minorHAnsi"/>
          <w:b/>
          <w:sz w:val="20"/>
          <w:szCs w:val="20"/>
        </w:rPr>
        <w:t>V. Specyficzne uwarunkowania naboru dla turystyki</w:t>
      </w:r>
    </w:p>
    <w:p w:rsidR="00AE6B80" w:rsidRPr="00455318" w:rsidRDefault="00AE6B80" w:rsidP="007B3911">
      <w:pPr>
        <w:pStyle w:val="Akapitzlist"/>
        <w:numPr>
          <w:ilvl w:val="0"/>
          <w:numId w:val="15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t xml:space="preserve">Wsparcie w konkursie kierowane jest wyłącznie na przedsięwzięcia podejmowane </w:t>
      </w:r>
      <w:r w:rsidRPr="00455318">
        <w:rPr>
          <w:rFonts w:ascii="Myriad Pro" w:hAnsi="Myriad Pro" w:cstheme="minorHAnsi"/>
          <w:sz w:val="20"/>
          <w:szCs w:val="20"/>
        </w:rPr>
        <w:t>w sektorze turystyki w zakresie:</w:t>
      </w:r>
    </w:p>
    <w:p w:rsidR="00AE6B80" w:rsidRPr="00455318" w:rsidRDefault="00AE6B80" w:rsidP="007B3911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prowadzenia hoteli, moteli, hosteli, pensjonatów, domów wypoczynkowych, ośrodków wczasowych, schronisk młodzieżowych, campingów, obiektów oferujących w sposób zorganizowany miejsca noclegowe (z wyjątkiem mieszkań na wynajem), </w:t>
      </w:r>
    </w:p>
    <w:p w:rsidR="00AE6B80" w:rsidRPr="00455318" w:rsidRDefault="00FE1553" w:rsidP="007B3911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prowadzenia restauracji, kawiarni, pubów, barów i innych lokali gastronomicznych oraz punktów małej gastronomii, </w:t>
      </w:r>
    </w:p>
    <w:p w:rsidR="00AE6B80" w:rsidRPr="00455318" w:rsidRDefault="00AE6B80" w:rsidP="007B3911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organizacji usług i imprez i  turystycznych, usług sportowo-rekreacyjnych i aktywnych form wypoczynku (z wyłączeniem siłowni i klubów fitness);</w:t>
      </w:r>
    </w:p>
    <w:p w:rsidR="00AE6B80" w:rsidRDefault="00AE6B80" w:rsidP="00AE6B80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lastRenderedPageBreak/>
        <w:t xml:space="preserve"> prowadzenia punktów informacji turystycznej, atrakcji turystycznych (w tym muzeów), wypo</w:t>
      </w:r>
      <w:r w:rsidR="001C43BE">
        <w:rPr>
          <w:rFonts w:ascii="Myriad Pro" w:hAnsi="Myriad Pro" w:cstheme="minorHAnsi"/>
          <w:sz w:val="20"/>
          <w:szCs w:val="20"/>
        </w:rPr>
        <w:t>życzalni sprzętu turystycznego.</w:t>
      </w:r>
    </w:p>
    <w:p w:rsidR="001C43BE" w:rsidRDefault="001C43BE" w:rsidP="001C43BE">
      <w:pPr>
        <w:ind w:left="360"/>
        <w:rPr>
          <w:rFonts w:ascii="Myriad Pro" w:hAnsi="Myriad Pro" w:cstheme="minorHAnsi"/>
          <w:sz w:val="20"/>
          <w:szCs w:val="20"/>
          <w:u w:val="single"/>
        </w:rPr>
      </w:pPr>
    </w:p>
    <w:p w:rsidR="001C43BE" w:rsidRPr="003A4068" w:rsidRDefault="001C43BE" w:rsidP="001C43BE">
      <w:pPr>
        <w:ind w:left="720"/>
        <w:contextualSpacing/>
        <w:rPr>
          <w:rFonts w:ascii="Myriad Pro" w:hAnsi="Myriad Pro" w:cstheme="minorHAnsi"/>
          <w:sz w:val="20"/>
          <w:szCs w:val="20"/>
        </w:rPr>
      </w:pPr>
    </w:p>
    <w:p w:rsidR="00AE6B80" w:rsidRPr="00455318" w:rsidRDefault="00AE6B80" w:rsidP="007B3911">
      <w:pPr>
        <w:pStyle w:val="Akapitzlist"/>
        <w:numPr>
          <w:ilvl w:val="0"/>
          <w:numId w:val="15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Realizacja inwestycji musi wpływać  na wzrost atrakcyjności turystycznej regionu oraz wpisywać  się w obszary wskazane w dokumencie strategicznym „Polityka Samorządu Województwa Zachodniopomorskiego w sektorze turystyki”.</w:t>
      </w:r>
      <w:r w:rsidRPr="00455318">
        <w:rPr>
          <w:rFonts w:ascii="Myriad Pro" w:hAnsi="Myriad Pro" w:cstheme="minorHAnsi"/>
          <w:sz w:val="20"/>
          <w:szCs w:val="20"/>
        </w:rPr>
        <w:br/>
      </w:r>
    </w:p>
    <w:p w:rsidR="00AE6B80" w:rsidRPr="00455318" w:rsidRDefault="00AE6B80" w:rsidP="007B3911">
      <w:pPr>
        <w:pStyle w:val="Akapitzlist"/>
        <w:numPr>
          <w:ilvl w:val="0"/>
          <w:numId w:val="15"/>
        </w:numPr>
        <w:spacing w:after="0"/>
        <w:rPr>
          <w:rFonts w:ascii="Myriad Pro" w:hAnsi="Myriad Pro" w:cstheme="minorHAnsi"/>
          <w:sz w:val="20"/>
          <w:szCs w:val="20"/>
          <w:u w:val="single"/>
        </w:rPr>
      </w:pPr>
      <w:r w:rsidRPr="00455318">
        <w:rPr>
          <w:rFonts w:ascii="Myriad Pro" w:hAnsi="Myriad Pro" w:cstheme="minorHAnsi"/>
          <w:sz w:val="20"/>
          <w:szCs w:val="20"/>
        </w:rPr>
        <w:t>Punktowany jest stopień w jakim projekt wpływa na rozwój gospodarki regionu w oparciu o priorytety i wyzwania określone:</w:t>
      </w:r>
    </w:p>
    <w:p w:rsidR="00AE6B80" w:rsidRPr="00455318" w:rsidRDefault="00AE6B80" w:rsidP="007B3911">
      <w:pPr>
        <w:numPr>
          <w:ilvl w:val="0"/>
          <w:numId w:val="5"/>
        </w:numPr>
        <w:spacing w:after="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 dokumencie 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strategicznym „Polityka Samorządu Województwa Zachodniopomorskiego w sektorze turystyki”,</w:t>
      </w:r>
    </w:p>
    <w:p w:rsidR="00AE6B80" w:rsidRPr="00455318" w:rsidRDefault="00AE6B80" w:rsidP="007B3911">
      <w:pPr>
        <w:numPr>
          <w:ilvl w:val="0"/>
          <w:numId w:val="5"/>
        </w:numPr>
        <w:spacing w:after="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a także dokumentach określających koncepcje szlaków turystycznych Pomorza Zachodniego tj.:</w:t>
      </w:r>
    </w:p>
    <w:p w:rsidR="00AE6B80" w:rsidRPr="00455318" w:rsidRDefault="00AE6B80" w:rsidP="0045118C">
      <w:pPr>
        <w:spacing w:after="0"/>
        <w:ind w:left="72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</w:p>
    <w:p w:rsidR="00AE6B80" w:rsidRPr="00455318" w:rsidRDefault="00AE6B80" w:rsidP="007B3911">
      <w:pPr>
        <w:numPr>
          <w:ilvl w:val="0"/>
          <w:numId w:val="4"/>
        </w:numPr>
        <w:spacing w:after="0"/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Koncepcja rozwoju i komercjalizacji zachodniopomorskich szlaków kulturowych wraz z programem ich wdrażania, zarządzania i promocji” przyjęta Uchwałą Zarządu WZ NR 64/16 z dnia 21 stycznia 2016 r.;</w:t>
      </w:r>
    </w:p>
    <w:p w:rsidR="00AE6B80" w:rsidRPr="00455318" w:rsidRDefault="00AE6B80" w:rsidP="007B3911">
      <w:pPr>
        <w:numPr>
          <w:ilvl w:val="0"/>
          <w:numId w:val="4"/>
        </w:numPr>
        <w:spacing w:after="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„Koncepcja sieci tras rowerowych Pomorza Zachodniego”</w:t>
      </w:r>
    </w:p>
    <w:p w:rsidR="00AE6B80" w:rsidRPr="00455318" w:rsidRDefault="00AE6B80" w:rsidP="0045118C">
      <w:pPr>
        <w:spacing w:after="0"/>
        <w:rPr>
          <w:rFonts w:ascii="Myriad Pro" w:hAnsi="Myriad Pro" w:cstheme="minorHAnsi"/>
          <w:sz w:val="20"/>
          <w:szCs w:val="20"/>
        </w:rPr>
      </w:pPr>
    </w:p>
    <w:p w:rsidR="00AE6B80" w:rsidRPr="00455318" w:rsidRDefault="00AE6B80" w:rsidP="00AE6B80">
      <w:pPr>
        <w:ind w:left="360"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W szczególności: </w:t>
      </w:r>
    </w:p>
    <w:p w:rsidR="00AE6B80" w:rsidRPr="00455318" w:rsidRDefault="008D05E3" w:rsidP="007B3911">
      <w:pPr>
        <w:numPr>
          <w:ilvl w:val="0"/>
          <w:numId w:val="7"/>
        </w:numPr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4  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punktów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może otrzymać wyłącznie projekt, w którym Wnioskodawca wykaże, że projekt rzeczywiście przyczynia się do wzrostu atrakcyjności 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jednego konkretnego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, wskazanego przez Wnioskodawcę we wniosku o dofinansowanie    szlaku kulturowego, rowerowego, lub kajakowego bądź produktu turystycznego określonego w  powyższych dokumentach </w:t>
      </w:r>
    </w:p>
    <w:p w:rsidR="00AE6B80" w:rsidRPr="00455318" w:rsidRDefault="008D05E3" w:rsidP="007B3911">
      <w:pPr>
        <w:numPr>
          <w:ilvl w:val="0"/>
          <w:numId w:val="7"/>
        </w:numPr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5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 punktów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może otrzymać wyłącznie projekt, w którym Wnioskodawca wykaże, że projekt rzeczywiście przyczynia się do wzrostu atrakcyjności 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co najmniej dwóch konkretnych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, wskazanych przez Wnioskodawcę we wniosku o dofinansowanie    szlaków    określonych w powyższych dokumentach </w:t>
      </w:r>
    </w:p>
    <w:p w:rsidR="00AE6B80" w:rsidRPr="00455318" w:rsidRDefault="00AE6B80" w:rsidP="007B3911">
      <w:pPr>
        <w:pStyle w:val="Akapitzlist"/>
        <w:numPr>
          <w:ilvl w:val="0"/>
          <w:numId w:val="15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Punktowane utworzenie produktu turystycznego/atrakcji turystycznej</w:t>
      </w:r>
    </w:p>
    <w:p w:rsidR="00AE6B80" w:rsidRPr="00455318" w:rsidRDefault="00AE6B80" w:rsidP="007B3911">
      <w:pPr>
        <w:numPr>
          <w:ilvl w:val="0"/>
          <w:numId w:val="6"/>
        </w:numPr>
        <w:contextualSpacing/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t>projekt dotyczy bezpośrednio tzn. polega na utworzeniu produktu turystycznego/atrakcji turystycznej, który będzie miał/która będzie miała charakter unikatowy:</w:t>
      </w:r>
    </w:p>
    <w:p w:rsidR="00AE6B80" w:rsidRPr="00455318" w:rsidRDefault="00AE6B80" w:rsidP="007B3911">
      <w:pPr>
        <w:numPr>
          <w:ilvl w:val="0"/>
          <w:numId w:val="6"/>
        </w:numPr>
        <w:contextualSpacing/>
        <w:rPr>
          <w:rFonts w:ascii="Myriad Pro" w:eastAsia="Times New Roman" w:hAnsi="Myriad Pro" w:cstheme="minorHAnsi"/>
          <w:color w:val="000000"/>
          <w:sz w:val="20"/>
          <w:szCs w:val="20"/>
          <w:lang w:eastAsia="en-US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t xml:space="preserve">Projekt  współtworzy/jest elementem turystycznego produktu sieciowego </w:t>
      </w:r>
    </w:p>
    <w:p w:rsidR="00AE6B80" w:rsidRPr="00455318" w:rsidRDefault="00AE6B80" w:rsidP="00AE6B80">
      <w:pPr>
        <w:ind w:left="72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</w:p>
    <w:p w:rsidR="00AE6B80" w:rsidRPr="00455318" w:rsidRDefault="00AE6B80" w:rsidP="00AE6B80">
      <w:pPr>
        <w:tabs>
          <w:tab w:val="left" w:pos="1204"/>
        </w:tabs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Atrakcja turystyczna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- warunki naturalne, walory antropogeniczne (tj. zabytki, muzea, miejsca historyczne, elementy kultury lokalnej itp.) lub inne obiekty, które ze względu na unikatowe/ wyróżniające cechy stanowią przedmiot zainteresowania i cel podróży turystów. Każda atrakcja turystyczna musi być zidentyfikowana i oznaczona np. w postaci tablicy informacyjnej, opisie w przewodniku turystycznym lub w inny sposób  umożlwiający jej znalezienie przez potencjalnego turystę. </w:t>
      </w:r>
    </w:p>
    <w:p w:rsidR="00AE6B80" w:rsidRPr="00455318" w:rsidRDefault="00AE6B80" w:rsidP="00AE6B80">
      <w:pPr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sz w:val="20"/>
          <w:szCs w:val="20"/>
        </w:rPr>
        <w:t>Produkt turystyczny</w:t>
      </w:r>
      <w:r w:rsidRPr="00455318">
        <w:rPr>
          <w:rFonts w:ascii="Myriad Pro" w:eastAsia="Times New Roman" w:hAnsi="Myriad Pro" w:cstheme="minorHAnsi"/>
          <w:sz w:val="20"/>
          <w:szCs w:val="20"/>
        </w:rPr>
        <w:t xml:space="preserve">  – gotowa do sprzedaży </w:t>
      </w:r>
      <w:proofErr w:type="spellStart"/>
      <w:r w:rsidRPr="00455318">
        <w:rPr>
          <w:rFonts w:ascii="Myriad Pro" w:eastAsia="Times New Roman" w:hAnsi="Myriad Pro" w:cstheme="minorHAnsi"/>
          <w:sz w:val="20"/>
          <w:szCs w:val="20"/>
        </w:rPr>
        <w:t>spakietyzowana</w:t>
      </w:r>
      <w:proofErr w:type="spellEnd"/>
      <w:r w:rsidRPr="00455318">
        <w:rPr>
          <w:rFonts w:ascii="Myriad Pro" w:eastAsia="Times New Roman" w:hAnsi="Myriad Pro" w:cstheme="minorHAnsi"/>
          <w:sz w:val="20"/>
          <w:szCs w:val="20"/>
        </w:rPr>
        <w:t xml:space="preserve"> oferta w zakresie turystyki składająca się z usług/towarów ściśle związanych z atrakcją turystyczną (zdefiniowaną powyżej).</w:t>
      </w:r>
    </w:p>
    <w:p w:rsidR="00AD4701" w:rsidRPr="00455318" w:rsidRDefault="00AD4701" w:rsidP="007B39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Innowacyjność projektu –  punktowany poziom nie niższy niż  ponadregionalny.</w:t>
      </w:r>
    </w:p>
    <w:p w:rsidR="003A4068" w:rsidRPr="00455318" w:rsidRDefault="002B63E6" w:rsidP="003A406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3A4068">
        <w:rPr>
          <w:rFonts w:ascii="Myriad Pro" w:hAnsi="Myriad Pro" w:cstheme="minorHAnsi"/>
          <w:sz w:val="20"/>
          <w:szCs w:val="20"/>
        </w:rPr>
        <w:t>Konkurencyjność Wnioskodawcy- punktowany poziom nie niższy niż</w:t>
      </w:r>
      <w:r w:rsidR="003A4068">
        <w:rPr>
          <w:rFonts w:ascii="Myriad Pro" w:hAnsi="Myriad Pro" w:cstheme="minorHAnsi"/>
          <w:sz w:val="20"/>
          <w:szCs w:val="20"/>
        </w:rPr>
        <w:t xml:space="preserve"> </w:t>
      </w:r>
      <w:r w:rsidR="003A4068" w:rsidRPr="00AA6932">
        <w:rPr>
          <w:rFonts w:ascii="Myriad Pro" w:hAnsi="Myriad Pro" w:cstheme="minorHAnsi"/>
          <w:sz w:val="20"/>
          <w:szCs w:val="20"/>
        </w:rPr>
        <w:t>ponadregionalny</w:t>
      </w:r>
    </w:p>
    <w:p w:rsidR="00AD4701" w:rsidRPr="00205E22" w:rsidRDefault="002B63E6" w:rsidP="001C43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b/>
          <w:sz w:val="20"/>
          <w:szCs w:val="20"/>
        </w:rPr>
      </w:pPr>
      <w:r w:rsidRPr="003A4068">
        <w:rPr>
          <w:rFonts w:ascii="Myriad Pro" w:hAnsi="Myriad Pro" w:cstheme="minorHAnsi"/>
          <w:sz w:val="20"/>
          <w:szCs w:val="20"/>
        </w:rPr>
        <w:t xml:space="preserve"> </w:t>
      </w:r>
      <w:r w:rsidR="0018337F" w:rsidRPr="00205E22">
        <w:rPr>
          <w:rFonts w:ascii="Myriad Pro" w:hAnsi="Myriad Pro" w:cstheme="minorHAnsi"/>
          <w:sz w:val="20"/>
          <w:szCs w:val="20"/>
        </w:rPr>
        <w:t>Premiowana lokalizacja projektu na SSW</w:t>
      </w:r>
      <w:r w:rsidR="00F92C6C" w:rsidRPr="00205E22">
        <w:rPr>
          <w:rStyle w:val="Odwoanieprzypisudolnego"/>
          <w:rFonts w:ascii="Myriad Pro" w:hAnsi="Myriad Pro" w:cstheme="minorHAnsi"/>
          <w:sz w:val="20"/>
          <w:szCs w:val="20"/>
        </w:rPr>
        <w:footnoteReference w:id="2"/>
      </w:r>
    </w:p>
    <w:p w:rsidR="002A7DC1" w:rsidRPr="00455318" w:rsidRDefault="0045118C" w:rsidP="00582D0B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V. Specyficzne uwaru</w:t>
      </w:r>
      <w:bookmarkStart w:id="0" w:name="_GoBack"/>
      <w:bookmarkEnd w:id="0"/>
      <w:r w:rsidRPr="00455318">
        <w:rPr>
          <w:rFonts w:ascii="Myriad Pro" w:hAnsi="Myriad Pro" w:cstheme="minorHAnsi"/>
          <w:b/>
          <w:sz w:val="20"/>
          <w:szCs w:val="20"/>
        </w:rPr>
        <w:t>nkowania naboru dla inteligentnych specjalizacji</w:t>
      </w:r>
    </w:p>
    <w:p w:rsidR="0045118C" w:rsidRPr="001C43BE" w:rsidRDefault="0045118C" w:rsidP="003A4068">
      <w:pPr>
        <w:pStyle w:val="Akapitzlist"/>
        <w:numPr>
          <w:ilvl w:val="0"/>
          <w:numId w:val="9"/>
        </w:numPr>
        <w:jc w:val="both"/>
        <w:rPr>
          <w:rFonts w:ascii="Myriad Pro" w:hAnsi="Myriad Pro" w:cstheme="minorHAnsi"/>
          <w:sz w:val="20"/>
          <w:szCs w:val="20"/>
          <w:u w:val="single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lastRenderedPageBreak/>
        <w:t>Wsparcie w konkursie kierowane jest wyłącznie na przedsięwzięcia podejmowane w obszarze inteligentnych specjalizacji</w:t>
      </w:r>
      <w:r w:rsidRPr="00455318">
        <w:rPr>
          <w:rFonts w:ascii="Myriad Pro" w:eastAsia="Times New Roman" w:hAnsi="Myriad Pro" w:cstheme="minorHAnsi"/>
          <w:i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 xml:space="preserve">Województwa Zachodniopomorskiego 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określonych w </w:t>
      </w:r>
      <w:r w:rsidRPr="00455318">
        <w:rPr>
          <w:rFonts w:ascii="Myriad Pro" w:eastAsia="Times New Roman" w:hAnsi="Myriad Pro" w:cstheme="minorHAnsi"/>
          <w:i/>
          <w:color w:val="000000"/>
          <w:sz w:val="20"/>
          <w:szCs w:val="20"/>
        </w:rPr>
        <w:t>Wykazie inteligentnych specjalizacji województwa zachodniopomorskiego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 xml:space="preserve"> przyjętym przez Zarząd Województwa Zachodniopomorskiego uchwałą nr 1489/16 z dnia 19 września 2016 r. lub branżach bezpośrednio z nimi powiązanych w ramach globalnych łańcuchów wartości</w:t>
      </w:r>
      <w:r w:rsidR="003A4068">
        <w:rPr>
          <w:rFonts w:ascii="Myriad Pro" w:hAnsi="Myriad Pro" w:cstheme="minorHAnsi"/>
          <w:sz w:val="20"/>
          <w:szCs w:val="20"/>
        </w:rPr>
        <w:t xml:space="preserve">. </w:t>
      </w:r>
    </w:p>
    <w:p w:rsidR="001C43BE" w:rsidRPr="003A4068" w:rsidRDefault="001C43BE" w:rsidP="001C43BE">
      <w:pPr>
        <w:pStyle w:val="Akapitzlist"/>
        <w:ind w:left="360"/>
        <w:jc w:val="both"/>
        <w:rPr>
          <w:rFonts w:ascii="Myriad Pro" w:hAnsi="Myriad Pro" w:cstheme="minorHAnsi"/>
          <w:sz w:val="20"/>
          <w:szCs w:val="20"/>
          <w:u w:val="single"/>
        </w:rPr>
      </w:pPr>
    </w:p>
    <w:p w:rsidR="002A7DC1" w:rsidRPr="00455318" w:rsidRDefault="002A7DC1" w:rsidP="007B391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Konkurs dedykowany jest następującym inteligentnym specjalizacjom: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wielkogabarytowe konstrukcje wodne i lądowe,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zaawansowane wyroby metalowe,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 xml:space="preserve">produkty </w:t>
      </w:r>
      <w:proofErr w:type="spellStart"/>
      <w:r w:rsidRPr="00455318">
        <w:rPr>
          <w:rFonts w:ascii="Myriad Pro" w:hAnsi="Myriad Pro" w:cstheme="minorHAnsi"/>
          <w:color w:val="000000"/>
          <w:sz w:val="20"/>
          <w:szCs w:val="20"/>
        </w:rPr>
        <w:t>drzewno</w:t>
      </w:r>
      <w:proofErr w:type="spellEnd"/>
      <w:r w:rsidRPr="00455318">
        <w:rPr>
          <w:rFonts w:ascii="Myriad Pro" w:hAnsi="Myriad Pro" w:cstheme="minorHAnsi"/>
          <w:color w:val="000000"/>
          <w:sz w:val="20"/>
          <w:szCs w:val="20"/>
        </w:rPr>
        <w:t>-meblarskie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opakowania przyjazne środowisku,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produkty inżynierii chemicznej i materiałowej,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nowoczesne przetwórstwo rolno-spożywcze,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multimodalny transport i logistyka,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produkty oparte na technologiach informacyjnych.</w:t>
      </w:r>
    </w:p>
    <w:p w:rsidR="002A7DC1" w:rsidRPr="00455318" w:rsidRDefault="002A7DC1" w:rsidP="002A7DC1">
      <w:pPr>
        <w:pStyle w:val="Akapitzlist"/>
        <w:ind w:left="360"/>
        <w:rPr>
          <w:rFonts w:ascii="Myriad Pro" w:hAnsi="Myriad Pro" w:cstheme="minorHAnsi"/>
          <w:b/>
          <w:sz w:val="20"/>
          <w:szCs w:val="20"/>
        </w:rPr>
      </w:pPr>
    </w:p>
    <w:p w:rsidR="00AD4701" w:rsidRPr="00455318" w:rsidRDefault="00AD4701" w:rsidP="007B39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Innowacyjność projektu –  punktowany poziom nie niższy niż  </w:t>
      </w:r>
      <w:r w:rsidR="002B63E6" w:rsidRPr="00455318">
        <w:rPr>
          <w:rFonts w:ascii="Myriad Pro" w:hAnsi="Myriad Pro" w:cstheme="minorHAnsi"/>
          <w:sz w:val="20"/>
          <w:szCs w:val="20"/>
        </w:rPr>
        <w:t>ponadregionalny</w:t>
      </w:r>
    </w:p>
    <w:p w:rsidR="00AD4701" w:rsidRPr="00455318" w:rsidRDefault="00AD4701" w:rsidP="007B39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Konkurencyjność Wnioskodawcy- punktowany poziom nie niższy niż krajowy</w:t>
      </w:r>
    </w:p>
    <w:p w:rsidR="009E2F25" w:rsidRPr="00455318" w:rsidRDefault="009E2F25" w:rsidP="00C64B9E">
      <w:pPr>
        <w:rPr>
          <w:rFonts w:ascii="Myriad Pro" w:hAnsi="Myriad Pro" w:cstheme="minorHAnsi"/>
          <w:sz w:val="20"/>
          <w:szCs w:val="20"/>
        </w:rPr>
      </w:pPr>
    </w:p>
    <w:sectPr w:rsidR="009E2F25" w:rsidRPr="00455318" w:rsidSect="0021150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63" w:rsidRDefault="00572263" w:rsidP="008E6DBD">
      <w:pPr>
        <w:spacing w:after="0" w:line="240" w:lineRule="auto"/>
      </w:pPr>
      <w:r>
        <w:separator/>
      </w:r>
    </w:p>
  </w:endnote>
  <w:endnote w:type="continuationSeparator" w:id="0">
    <w:p w:rsidR="00572263" w:rsidRDefault="00572263" w:rsidP="008E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582399"/>
      <w:docPartObj>
        <w:docPartGallery w:val="Page Numbers (Bottom of Page)"/>
        <w:docPartUnique/>
      </w:docPartObj>
    </w:sdtPr>
    <w:sdtEndPr/>
    <w:sdtContent>
      <w:p w:rsidR="00295648" w:rsidRDefault="00503F7D">
        <w:pPr>
          <w:pStyle w:val="Stopka"/>
          <w:jc w:val="right"/>
        </w:pPr>
        <w:r>
          <w:fldChar w:fldCharType="begin"/>
        </w:r>
        <w:r w:rsidR="00295648">
          <w:instrText>PAGE   \* MERGEFORMAT</w:instrText>
        </w:r>
        <w:r>
          <w:fldChar w:fldCharType="separate"/>
        </w:r>
        <w:r w:rsidR="00205E22">
          <w:rPr>
            <w:noProof/>
          </w:rPr>
          <w:t>6</w:t>
        </w:r>
        <w:r>
          <w:fldChar w:fldCharType="end"/>
        </w:r>
      </w:p>
    </w:sdtContent>
  </w:sdt>
  <w:p w:rsidR="00295648" w:rsidRDefault="002956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63" w:rsidRDefault="00572263" w:rsidP="008E6DBD">
      <w:pPr>
        <w:spacing w:after="0" w:line="240" w:lineRule="auto"/>
      </w:pPr>
      <w:r>
        <w:separator/>
      </w:r>
    </w:p>
  </w:footnote>
  <w:footnote w:type="continuationSeparator" w:id="0">
    <w:p w:rsidR="00572263" w:rsidRDefault="00572263" w:rsidP="008E6DBD">
      <w:pPr>
        <w:spacing w:after="0" w:line="240" w:lineRule="auto"/>
      </w:pPr>
      <w:r>
        <w:continuationSeparator/>
      </w:r>
    </w:p>
  </w:footnote>
  <w:footnote w:id="1">
    <w:p w:rsidR="001B6FE9" w:rsidRDefault="001B6FE9">
      <w:pPr>
        <w:pStyle w:val="Tekstprzypisudolnego"/>
      </w:pPr>
      <w:r>
        <w:rPr>
          <w:rStyle w:val="Odwoanieprzypisudolnego"/>
        </w:rPr>
        <w:footnoteRef/>
      </w:r>
      <w:r>
        <w:t xml:space="preserve"> Okres 24 miesięcy liczony jest od pierwszego dnia miesiąca następującego po miesiącu zakończenia realizacji projektu</w:t>
      </w:r>
    </w:p>
  </w:footnote>
  <w:footnote w:id="2">
    <w:p w:rsidR="00F92C6C" w:rsidRDefault="00F92C6C">
      <w:pPr>
        <w:pStyle w:val="Tekstprzypisudolnego"/>
      </w:pPr>
      <w:r>
        <w:rPr>
          <w:rStyle w:val="Odwoanieprzypisudolnego"/>
        </w:rPr>
        <w:footnoteRef/>
      </w:r>
      <w:r>
        <w:t xml:space="preserve"> Premiowanie inwestycji zlokalizowanych w centralnej części województwa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35F"/>
    <w:multiLevelType w:val="hybridMultilevel"/>
    <w:tmpl w:val="79760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55C8A"/>
    <w:multiLevelType w:val="hybridMultilevel"/>
    <w:tmpl w:val="A9800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3A1B6C"/>
    <w:multiLevelType w:val="hybridMultilevel"/>
    <w:tmpl w:val="53125724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06F22"/>
    <w:multiLevelType w:val="hybridMultilevel"/>
    <w:tmpl w:val="61CAEE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D3A3C"/>
    <w:multiLevelType w:val="hybridMultilevel"/>
    <w:tmpl w:val="4EA442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F14B9"/>
    <w:multiLevelType w:val="hybridMultilevel"/>
    <w:tmpl w:val="456CC02C"/>
    <w:lvl w:ilvl="0" w:tplc="83E67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9846E4"/>
    <w:multiLevelType w:val="hybridMultilevel"/>
    <w:tmpl w:val="8D14E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124DB"/>
    <w:multiLevelType w:val="hybridMultilevel"/>
    <w:tmpl w:val="98DCD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578D5"/>
    <w:multiLevelType w:val="hybridMultilevel"/>
    <w:tmpl w:val="D4AEC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A11F8"/>
    <w:multiLevelType w:val="hybridMultilevel"/>
    <w:tmpl w:val="BA46C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13E67"/>
    <w:multiLevelType w:val="hybridMultilevel"/>
    <w:tmpl w:val="EA46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421C6"/>
    <w:multiLevelType w:val="hybridMultilevel"/>
    <w:tmpl w:val="AA1A54CA"/>
    <w:lvl w:ilvl="0" w:tplc="A0BCE1E8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3">
    <w:nsid w:val="4C187725"/>
    <w:multiLevelType w:val="hybridMultilevel"/>
    <w:tmpl w:val="2AE02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E1D72"/>
    <w:multiLevelType w:val="hybridMultilevel"/>
    <w:tmpl w:val="8FBEDB8C"/>
    <w:lvl w:ilvl="0" w:tplc="365A8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404BE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730"/>
    <w:multiLevelType w:val="hybridMultilevel"/>
    <w:tmpl w:val="63B44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D4CAA"/>
    <w:multiLevelType w:val="hybridMultilevel"/>
    <w:tmpl w:val="A57AC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A23B4"/>
    <w:multiLevelType w:val="hybridMultilevel"/>
    <w:tmpl w:val="1B005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163EA"/>
    <w:multiLevelType w:val="hybridMultilevel"/>
    <w:tmpl w:val="B05E9B4C"/>
    <w:lvl w:ilvl="0" w:tplc="A0BCE1E8">
      <w:start w:val="1"/>
      <w:numFmt w:val="bullet"/>
      <w:lvlText w:val=""/>
      <w:lvlJc w:val="left"/>
      <w:pPr>
        <w:ind w:left="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9">
    <w:nsid w:val="5D2A61EE"/>
    <w:multiLevelType w:val="hybridMultilevel"/>
    <w:tmpl w:val="740A186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F781B"/>
    <w:multiLevelType w:val="hybridMultilevel"/>
    <w:tmpl w:val="7F1CDF68"/>
    <w:lvl w:ilvl="0" w:tplc="B486F8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F2486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6688A"/>
    <w:multiLevelType w:val="hybridMultilevel"/>
    <w:tmpl w:val="7C1CB02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64D27"/>
    <w:multiLevelType w:val="hybridMultilevel"/>
    <w:tmpl w:val="8CE4B2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37E05"/>
    <w:multiLevelType w:val="hybridMultilevel"/>
    <w:tmpl w:val="98349D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920FCC"/>
    <w:multiLevelType w:val="hybridMultilevel"/>
    <w:tmpl w:val="57F820A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33E70"/>
    <w:multiLevelType w:val="hybridMultilevel"/>
    <w:tmpl w:val="39DC2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1"/>
  </w:num>
  <w:num w:numId="5">
    <w:abstractNumId w:val="11"/>
  </w:num>
  <w:num w:numId="6">
    <w:abstractNumId w:val="20"/>
  </w:num>
  <w:num w:numId="7">
    <w:abstractNumId w:val="1"/>
  </w:num>
  <w:num w:numId="8">
    <w:abstractNumId w:val="18"/>
  </w:num>
  <w:num w:numId="9">
    <w:abstractNumId w:val="0"/>
  </w:num>
  <w:num w:numId="10">
    <w:abstractNumId w:val="16"/>
  </w:num>
  <w:num w:numId="11">
    <w:abstractNumId w:val="9"/>
  </w:num>
  <w:num w:numId="12">
    <w:abstractNumId w:val="3"/>
  </w:num>
  <w:num w:numId="13">
    <w:abstractNumId w:val="2"/>
  </w:num>
  <w:num w:numId="14">
    <w:abstractNumId w:val="24"/>
  </w:num>
  <w:num w:numId="15">
    <w:abstractNumId w:val="14"/>
  </w:num>
  <w:num w:numId="16">
    <w:abstractNumId w:val="12"/>
  </w:num>
  <w:num w:numId="17">
    <w:abstractNumId w:val="19"/>
  </w:num>
  <w:num w:numId="18">
    <w:abstractNumId w:val="7"/>
  </w:num>
  <w:num w:numId="19">
    <w:abstractNumId w:val="10"/>
  </w:num>
  <w:num w:numId="20">
    <w:abstractNumId w:val="15"/>
  </w:num>
  <w:num w:numId="21">
    <w:abstractNumId w:val="22"/>
  </w:num>
  <w:num w:numId="22">
    <w:abstractNumId w:val="25"/>
  </w:num>
  <w:num w:numId="23">
    <w:abstractNumId w:val="17"/>
  </w:num>
  <w:num w:numId="24">
    <w:abstractNumId w:val="8"/>
  </w:num>
  <w:num w:numId="25">
    <w:abstractNumId w:val="13"/>
  </w:num>
  <w:num w:numId="2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72"/>
    <w:rsid w:val="00040477"/>
    <w:rsid w:val="000435E1"/>
    <w:rsid w:val="000477F2"/>
    <w:rsid w:val="000517F8"/>
    <w:rsid w:val="00064983"/>
    <w:rsid w:val="00077891"/>
    <w:rsid w:val="00095AD7"/>
    <w:rsid w:val="00095E6A"/>
    <w:rsid w:val="000A0950"/>
    <w:rsid w:val="000B38F4"/>
    <w:rsid w:val="000B406E"/>
    <w:rsid w:val="000B7F05"/>
    <w:rsid w:val="000E02F1"/>
    <w:rsid w:val="000F5539"/>
    <w:rsid w:val="00113F42"/>
    <w:rsid w:val="00133160"/>
    <w:rsid w:val="00135C72"/>
    <w:rsid w:val="00136C6D"/>
    <w:rsid w:val="00142BE8"/>
    <w:rsid w:val="00157259"/>
    <w:rsid w:val="001708C1"/>
    <w:rsid w:val="00182E13"/>
    <w:rsid w:val="0018337F"/>
    <w:rsid w:val="001A6D4C"/>
    <w:rsid w:val="001B6FE9"/>
    <w:rsid w:val="001C43BE"/>
    <w:rsid w:val="001E19E1"/>
    <w:rsid w:val="001E498D"/>
    <w:rsid w:val="00200504"/>
    <w:rsid w:val="00205E22"/>
    <w:rsid w:val="0021150C"/>
    <w:rsid w:val="0023162C"/>
    <w:rsid w:val="00234348"/>
    <w:rsid w:val="00237EFE"/>
    <w:rsid w:val="0024662C"/>
    <w:rsid w:val="0026146B"/>
    <w:rsid w:val="002762B3"/>
    <w:rsid w:val="00295648"/>
    <w:rsid w:val="00296A25"/>
    <w:rsid w:val="002A7DC1"/>
    <w:rsid w:val="002A7F4B"/>
    <w:rsid w:val="002B63E6"/>
    <w:rsid w:val="00302F19"/>
    <w:rsid w:val="00313DA9"/>
    <w:rsid w:val="00350E90"/>
    <w:rsid w:val="00364DE7"/>
    <w:rsid w:val="00372E71"/>
    <w:rsid w:val="003828A1"/>
    <w:rsid w:val="00382F21"/>
    <w:rsid w:val="003A4068"/>
    <w:rsid w:val="003C0BFA"/>
    <w:rsid w:val="003D4C66"/>
    <w:rsid w:val="003E530D"/>
    <w:rsid w:val="00401A24"/>
    <w:rsid w:val="00417991"/>
    <w:rsid w:val="004208B1"/>
    <w:rsid w:val="00427E44"/>
    <w:rsid w:val="00430950"/>
    <w:rsid w:val="0045118C"/>
    <w:rsid w:val="00455318"/>
    <w:rsid w:val="004B36D6"/>
    <w:rsid w:val="004C33A3"/>
    <w:rsid w:val="00503F7D"/>
    <w:rsid w:val="00504B52"/>
    <w:rsid w:val="0051772E"/>
    <w:rsid w:val="00536BFC"/>
    <w:rsid w:val="00545C0C"/>
    <w:rsid w:val="005473E8"/>
    <w:rsid w:val="00572263"/>
    <w:rsid w:val="00575B75"/>
    <w:rsid w:val="00582D0B"/>
    <w:rsid w:val="00590102"/>
    <w:rsid w:val="005B425E"/>
    <w:rsid w:val="005C57FF"/>
    <w:rsid w:val="005D5FCE"/>
    <w:rsid w:val="005F4A01"/>
    <w:rsid w:val="0063753C"/>
    <w:rsid w:val="00643FDF"/>
    <w:rsid w:val="0065165A"/>
    <w:rsid w:val="006B74CD"/>
    <w:rsid w:val="006D2BB9"/>
    <w:rsid w:val="006E4D00"/>
    <w:rsid w:val="00703FCC"/>
    <w:rsid w:val="00711F0F"/>
    <w:rsid w:val="007368D3"/>
    <w:rsid w:val="007671D4"/>
    <w:rsid w:val="0077793D"/>
    <w:rsid w:val="00782552"/>
    <w:rsid w:val="00783A27"/>
    <w:rsid w:val="00787B8B"/>
    <w:rsid w:val="00797965"/>
    <w:rsid w:val="007B3911"/>
    <w:rsid w:val="007B4770"/>
    <w:rsid w:val="007B777F"/>
    <w:rsid w:val="007E51F7"/>
    <w:rsid w:val="007F2EA9"/>
    <w:rsid w:val="007F2F6A"/>
    <w:rsid w:val="008066AB"/>
    <w:rsid w:val="00815230"/>
    <w:rsid w:val="00820BF5"/>
    <w:rsid w:val="00840873"/>
    <w:rsid w:val="0085236D"/>
    <w:rsid w:val="00871B05"/>
    <w:rsid w:val="0087244D"/>
    <w:rsid w:val="00877063"/>
    <w:rsid w:val="008A4781"/>
    <w:rsid w:val="008C2FA2"/>
    <w:rsid w:val="008D05E3"/>
    <w:rsid w:val="008D60FD"/>
    <w:rsid w:val="008D66BA"/>
    <w:rsid w:val="008E15B5"/>
    <w:rsid w:val="008E4D14"/>
    <w:rsid w:val="008E6C21"/>
    <w:rsid w:val="008E6DBD"/>
    <w:rsid w:val="00945001"/>
    <w:rsid w:val="0094704D"/>
    <w:rsid w:val="00956E75"/>
    <w:rsid w:val="009A1E4F"/>
    <w:rsid w:val="009C4619"/>
    <w:rsid w:val="009C7F0F"/>
    <w:rsid w:val="009E2F25"/>
    <w:rsid w:val="00A259F4"/>
    <w:rsid w:val="00A53174"/>
    <w:rsid w:val="00A62408"/>
    <w:rsid w:val="00A906AF"/>
    <w:rsid w:val="00A91F3A"/>
    <w:rsid w:val="00A93C4D"/>
    <w:rsid w:val="00A95962"/>
    <w:rsid w:val="00A964BD"/>
    <w:rsid w:val="00AA2E48"/>
    <w:rsid w:val="00AA6932"/>
    <w:rsid w:val="00AB23F8"/>
    <w:rsid w:val="00AD16DE"/>
    <w:rsid w:val="00AD4701"/>
    <w:rsid w:val="00AD6A74"/>
    <w:rsid w:val="00AE311A"/>
    <w:rsid w:val="00AE6B80"/>
    <w:rsid w:val="00B16AD1"/>
    <w:rsid w:val="00B51BAA"/>
    <w:rsid w:val="00B9132A"/>
    <w:rsid w:val="00BD1E08"/>
    <w:rsid w:val="00BE243C"/>
    <w:rsid w:val="00BF0503"/>
    <w:rsid w:val="00C14DEE"/>
    <w:rsid w:val="00C27988"/>
    <w:rsid w:val="00C40654"/>
    <w:rsid w:val="00C6272C"/>
    <w:rsid w:val="00C64B9E"/>
    <w:rsid w:val="00CC502E"/>
    <w:rsid w:val="00CD7851"/>
    <w:rsid w:val="00CF29A7"/>
    <w:rsid w:val="00CF60B3"/>
    <w:rsid w:val="00D05A21"/>
    <w:rsid w:val="00D53F2C"/>
    <w:rsid w:val="00D654FB"/>
    <w:rsid w:val="00D83CBC"/>
    <w:rsid w:val="00DA3E8A"/>
    <w:rsid w:val="00DD7F4F"/>
    <w:rsid w:val="00DE4051"/>
    <w:rsid w:val="00DF2A91"/>
    <w:rsid w:val="00E16890"/>
    <w:rsid w:val="00E27D46"/>
    <w:rsid w:val="00E462F1"/>
    <w:rsid w:val="00E47560"/>
    <w:rsid w:val="00E66418"/>
    <w:rsid w:val="00E7431E"/>
    <w:rsid w:val="00E75364"/>
    <w:rsid w:val="00E94532"/>
    <w:rsid w:val="00EC25FB"/>
    <w:rsid w:val="00ED371A"/>
    <w:rsid w:val="00ED558F"/>
    <w:rsid w:val="00EF32EF"/>
    <w:rsid w:val="00F125D3"/>
    <w:rsid w:val="00F16232"/>
    <w:rsid w:val="00F36670"/>
    <w:rsid w:val="00F5488A"/>
    <w:rsid w:val="00F60FDE"/>
    <w:rsid w:val="00F92C6C"/>
    <w:rsid w:val="00F96AB0"/>
    <w:rsid w:val="00FB12E2"/>
    <w:rsid w:val="00FE1553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35C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D4C66"/>
    <w:pPr>
      <w:spacing w:line="240" w:lineRule="auto"/>
    </w:pPr>
    <w:rPr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C66"/>
    <w:rPr>
      <w:rFonts w:eastAsiaTheme="minorEastAsia"/>
      <w:sz w:val="20"/>
      <w:szCs w:val="20"/>
      <w:lang w:val="en-GB" w:eastAsia="en-GB"/>
    </w:rPr>
  </w:style>
  <w:style w:type="character" w:styleId="Odwoaniedokomentarza">
    <w:name w:val="annotation reference"/>
    <w:uiPriority w:val="99"/>
    <w:semiHidden/>
    <w:unhideWhenUsed/>
    <w:rsid w:val="003D4C6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C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6232"/>
    <w:pPr>
      <w:tabs>
        <w:tab w:val="center" w:pos="4536"/>
        <w:tab w:val="right" w:pos="9072"/>
      </w:tabs>
      <w:spacing w:after="0" w:line="240" w:lineRule="auto"/>
    </w:pPr>
    <w:rPr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F16232"/>
    <w:rPr>
      <w:rFonts w:eastAsiaTheme="minorEastAsia"/>
      <w:lang w:val="en-GB" w:eastAsia="en-GB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16232"/>
  </w:style>
  <w:style w:type="character" w:styleId="Pogrubienie">
    <w:name w:val="Strong"/>
    <w:basedOn w:val="Domylnaczcionkaakapitu"/>
    <w:uiPriority w:val="22"/>
    <w:qFormat/>
    <w:rsid w:val="00D83CBC"/>
    <w:rPr>
      <w:b/>
      <w:bCs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E6D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8E6D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DB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950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950"/>
    <w:rPr>
      <w:rFonts w:eastAsiaTheme="minorEastAsia"/>
      <w:b/>
      <w:bCs/>
      <w:sz w:val="20"/>
      <w:szCs w:val="20"/>
      <w:lang w:val="en-GB" w:eastAsia="en-GB"/>
    </w:rPr>
  </w:style>
  <w:style w:type="paragraph" w:styleId="NormalnyWeb">
    <w:name w:val="Normal (Web)"/>
    <w:basedOn w:val="Normalny"/>
    <w:uiPriority w:val="99"/>
    <w:unhideWhenUsed/>
    <w:rsid w:val="0077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5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29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B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B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0BF5"/>
    <w:rPr>
      <w:vertAlign w:val="superscript"/>
    </w:rPr>
  </w:style>
  <w:style w:type="table" w:styleId="Tabela-Siatka">
    <w:name w:val="Table Grid"/>
    <w:basedOn w:val="Standardowy"/>
    <w:uiPriority w:val="59"/>
    <w:rsid w:val="00BD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35C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D4C66"/>
    <w:pPr>
      <w:spacing w:line="240" w:lineRule="auto"/>
    </w:pPr>
    <w:rPr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C66"/>
    <w:rPr>
      <w:rFonts w:eastAsiaTheme="minorEastAsia"/>
      <w:sz w:val="20"/>
      <w:szCs w:val="20"/>
      <w:lang w:val="en-GB" w:eastAsia="en-GB"/>
    </w:rPr>
  </w:style>
  <w:style w:type="character" w:styleId="Odwoaniedokomentarza">
    <w:name w:val="annotation reference"/>
    <w:uiPriority w:val="99"/>
    <w:semiHidden/>
    <w:unhideWhenUsed/>
    <w:rsid w:val="003D4C6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C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6232"/>
    <w:pPr>
      <w:tabs>
        <w:tab w:val="center" w:pos="4536"/>
        <w:tab w:val="right" w:pos="9072"/>
      </w:tabs>
      <w:spacing w:after="0" w:line="240" w:lineRule="auto"/>
    </w:pPr>
    <w:rPr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F16232"/>
    <w:rPr>
      <w:rFonts w:eastAsiaTheme="minorEastAsia"/>
      <w:lang w:val="en-GB" w:eastAsia="en-GB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16232"/>
  </w:style>
  <w:style w:type="character" w:styleId="Pogrubienie">
    <w:name w:val="Strong"/>
    <w:basedOn w:val="Domylnaczcionkaakapitu"/>
    <w:uiPriority w:val="22"/>
    <w:qFormat/>
    <w:rsid w:val="00D83CBC"/>
    <w:rPr>
      <w:b/>
      <w:bCs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E6D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8E6D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DB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950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950"/>
    <w:rPr>
      <w:rFonts w:eastAsiaTheme="minorEastAsia"/>
      <w:b/>
      <w:bCs/>
      <w:sz w:val="20"/>
      <w:szCs w:val="20"/>
      <w:lang w:val="en-GB" w:eastAsia="en-GB"/>
    </w:rPr>
  </w:style>
  <w:style w:type="paragraph" w:styleId="NormalnyWeb">
    <w:name w:val="Normal (Web)"/>
    <w:basedOn w:val="Normalny"/>
    <w:uiPriority w:val="99"/>
    <w:unhideWhenUsed/>
    <w:rsid w:val="0077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5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29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B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B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0BF5"/>
    <w:rPr>
      <w:vertAlign w:val="superscript"/>
    </w:rPr>
  </w:style>
  <w:style w:type="table" w:styleId="Tabela-Siatka">
    <w:name w:val="Table Grid"/>
    <w:basedOn w:val="Standardowy"/>
    <w:uiPriority w:val="59"/>
    <w:rsid w:val="00BD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39.7093" units="1/cm"/>
          <inkml:channelProperty channel="Y" name="resolution" value="39.58763" units="1/cm"/>
        </inkml:channelProperties>
      </inkml:inkSource>
      <inkml:timestamp xml:id="ts0" timeString="2020-10-27T12:37:17.4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D38DB-8AA4-427A-AB93-57B649A7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2071</Words>
  <Characters>12428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JBorowski</dc:creator>
  <cp:lastModifiedBy>Piotr Wolski</cp:lastModifiedBy>
  <cp:revision>2</cp:revision>
  <cp:lastPrinted>2020-09-24T06:43:00Z</cp:lastPrinted>
  <dcterms:created xsi:type="dcterms:W3CDTF">2020-11-06T10:37:00Z</dcterms:created>
  <dcterms:modified xsi:type="dcterms:W3CDTF">2020-11-06T10:37:00Z</dcterms:modified>
</cp:coreProperties>
</file>