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0"/>
        <w:tblW w:w="5359" w:type="pct"/>
        <w:tblInd w:w="-925" w:type="dxa"/>
        <w:tblCellMar>
          <w:top w:w="68" w:type="dxa"/>
          <w:left w:w="68" w:type="dxa"/>
          <w:bottom w:w="68" w:type="dxa"/>
          <w:right w:w="68" w:type="dxa"/>
        </w:tblCellMar>
        <w:tblLook w:val="04A0" w:firstRow="1" w:lastRow="0" w:firstColumn="1" w:lastColumn="0" w:noHBand="0" w:noVBand="1"/>
      </w:tblPr>
      <w:tblGrid>
        <w:gridCol w:w="3022"/>
        <w:gridCol w:w="12133"/>
      </w:tblGrid>
      <w:tr w:rsidR="00606F8E" w:rsidRPr="00934BF4" w:rsidTr="003869E9">
        <w:tc>
          <w:tcPr>
            <w:tcW w:w="997" w:type="pct"/>
            <w:shd w:val="clear" w:color="auto" w:fill="B6DDE8" w:themeFill="accent5" w:themeFillTint="66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Oś priorytetowa</w:t>
            </w:r>
          </w:p>
        </w:tc>
        <w:tc>
          <w:tcPr>
            <w:tcW w:w="4003" w:type="pct"/>
            <w:shd w:val="clear" w:color="auto" w:fill="B6DDE8" w:themeFill="accent5" w:themeFillTint="66"/>
          </w:tcPr>
          <w:p w:rsidR="00606F8E" w:rsidRDefault="00606F8E" w:rsidP="003869E9">
            <w:pPr>
              <w:rPr>
                <w:rFonts w:ascii="Myriad Pro" w:eastAsiaTheme="majorEastAsia" w:hAnsi="Myriad Pro" w:cstheme="majorBidi"/>
                <w:bCs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IX Infrastruktura Publiczna</w:t>
            </w:r>
          </w:p>
        </w:tc>
      </w:tr>
      <w:tr w:rsidR="00606F8E" w:rsidRPr="00934BF4" w:rsidTr="003869E9">
        <w:tc>
          <w:tcPr>
            <w:tcW w:w="997" w:type="pct"/>
            <w:shd w:val="clear" w:color="auto" w:fill="B6DDE8" w:themeFill="accent5" w:themeFillTint="66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Priorytet inwestycyjny</w:t>
            </w:r>
          </w:p>
        </w:tc>
        <w:tc>
          <w:tcPr>
            <w:tcW w:w="4003" w:type="pct"/>
            <w:shd w:val="clear" w:color="auto" w:fill="B6DDE8" w:themeFill="accent5" w:themeFillTint="66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9a: Inwestycje w infrastrukturę zdrowotną i społeczną, które przyczyniają się do rozwoju krajowego, regionalnego i lokalnego, zmniejszania nierówności w zakresie stanu zdrowia, promowanie włączenia społecznego poprzez lepszy dostęp do usług społecznych, kulturalnych i rekreacyjnych, oraz przejścia z usług instytucjonalnych na usługi na poziomie społeczności lokalnych.</w:t>
            </w:r>
          </w:p>
        </w:tc>
      </w:tr>
      <w:tr w:rsidR="00606F8E" w:rsidRPr="00934BF4" w:rsidTr="003869E9">
        <w:tc>
          <w:tcPr>
            <w:tcW w:w="997" w:type="pct"/>
            <w:shd w:val="clear" w:color="auto" w:fill="B6DDE8" w:themeFill="accent5" w:themeFillTint="66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Działanie </w:t>
            </w:r>
          </w:p>
        </w:tc>
        <w:tc>
          <w:tcPr>
            <w:tcW w:w="4003" w:type="pct"/>
            <w:shd w:val="clear" w:color="auto" w:fill="B6DDE8" w:themeFill="accent5" w:themeFillTint="66"/>
          </w:tcPr>
          <w:p w:rsidR="00606F8E" w:rsidRDefault="00606F8E" w:rsidP="003869E9">
            <w:pPr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934BF4">
              <w:rPr>
                <w:rFonts w:ascii="Myriad Pro" w:eastAsia="SimSun" w:hAnsi="Myriad Pro" w:cs="Arial"/>
                <w:sz w:val="18"/>
                <w:szCs w:val="18"/>
                <w:lang w:eastAsia="ar-SA"/>
              </w:rPr>
              <w:t>9.1 Infrastruktura zdrowia</w:t>
            </w:r>
          </w:p>
        </w:tc>
      </w:tr>
      <w:tr w:rsidR="00606F8E" w:rsidRPr="00934BF4" w:rsidTr="003869E9">
        <w:tc>
          <w:tcPr>
            <w:tcW w:w="997" w:type="pct"/>
            <w:shd w:val="clear" w:color="auto" w:fill="B6DDE8" w:themeFill="accent5" w:themeFillTint="66"/>
          </w:tcPr>
          <w:p w:rsidR="00606F8E" w:rsidRPr="00934BF4" w:rsidRDefault="00606F8E" w:rsidP="003869E9">
            <w:pPr>
              <w:spacing w:before="40" w:after="40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Typ projektu</w:t>
            </w:r>
          </w:p>
        </w:tc>
        <w:tc>
          <w:tcPr>
            <w:tcW w:w="4003" w:type="pct"/>
            <w:shd w:val="clear" w:color="auto" w:fill="B6DDE8" w:themeFill="accent5" w:themeFillTint="66"/>
          </w:tcPr>
          <w:p w:rsidR="00606F8E" w:rsidRPr="00934BF4" w:rsidRDefault="00606F8E" w:rsidP="003869E9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1. Budowa(w wyjątkowych, uzasadnionych przypadkach), przebudowa, modernizacja obiektów ochrony zdrowia,</w:t>
            </w:r>
          </w:p>
          <w:p w:rsidR="00606F8E" w:rsidRPr="00934BF4" w:rsidRDefault="00606F8E" w:rsidP="003869E9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2. Zakup wyrobów medycznych zdefiniowanych w art. 2 ust.  1 ustawy z dnia 20 maja 2010 r. o wyrobach medycznych.</w:t>
            </w:r>
          </w:p>
          <w:p w:rsidR="00606F8E" w:rsidRPr="00934BF4" w:rsidRDefault="00606F8E" w:rsidP="003869E9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Zakup systemów informatycznych poprawiających zarządzanie (w tym sprzętu komputerowego) możliwy jest wyłącznie jako element projektu.</w:t>
            </w:r>
          </w:p>
          <w:p w:rsidR="00606F8E" w:rsidRPr="00934BF4" w:rsidRDefault="00606F8E" w:rsidP="003869E9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Tryb pozakonkursowy dla sektora zdrowia.</w:t>
            </w:r>
          </w:p>
        </w:tc>
      </w:tr>
      <w:tr w:rsidR="00606F8E" w:rsidRPr="00934BF4" w:rsidTr="003869E9">
        <w:tc>
          <w:tcPr>
            <w:tcW w:w="997" w:type="pct"/>
            <w:shd w:val="clear" w:color="auto" w:fill="B6DDE8" w:themeFill="accent5" w:themeFillTint="66"/>
          </w:tcPr>
          <w:p w:rsidR="00606F8E" w:rsidRPr="00934BF4" w:rsidRDefault="00606F8E" w:rsidP="003869E9">
            <w:pPr>
              <w:spacing w:before="40" w:after="40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Dotyczy</w:t>
            </w:r>
          </w:p>
        </w:tc>
        <w:tc>
          <w:tcPr>
            <w:tcW w:w="4003" w:type="pct"/>
            <w:shd w:val="clear" w:color="auto" w:fill="B6DDE8" w:themeFill="accent5" w:themeFillTint="66"/>
          </w:tcPr>
          <w:p w:rsidR="00606F8E" w:rsidRPr="00934BF4" w:rsidRDefault="00606F8E" w:rsidP="003869E9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 xml:space="preserve">Projektów zatwierdzonych przez Komitet Sterujący ds. koordynacji interwencji EFSI w ochronie zdrowia uchwałą nr </w:t>
            </w:r>
            <w:r w:rsidR="008E1E3A">
              <w:rPr>
                <w:rFonts w:ascii="Myriad Pro" w:hAnsi="Myriad Pro" w:cs="Arial"/>
                <w:sz w:val="18"/>
                <w:szCs w:val="18"/>
              </w:rPr>
              <w:t>67/2017/XV</w:t>
            </w:r>
          </w:p>
        </w:tc>
      </w:tr>
    </w:tbl>
    <w:p w:rsidR="00606F8E" w:rsidRPr="00934BF4" w:rsidRDefault="00606F8E" w:rsidP="00606F8E">
      <w:pPr>
        <w:spacing w:after="0" w:line="240" w:lineRule="auto"/>
        <w:rPr>
          <w:rFonts w:ascii="Myriad Pro" w:hAnsi="Myriad Pro"/>
          <w:sz w:val="18"/>
          <w:szCs w:val="18"/>
        </w:rPr>
      </w:pPr>
    </w:p>
    <w:tbl>
      <w:tblPr>
        <w:tblStyle w:val="Tabela-Siatka10"/>
        <w:tblW w:w="5364" w:type="pct"/>
        <w:tblInd w:w="-925" w:type="dxa"/>
        <w:tblCellMar>
          <w:top w:w="68" w:type="dxa"/>
          <w:left w:w="68" w:type="dxa"/>
          <w:bottom w:w="68" w:type="dxa"/>
          <w:right w:w="68" w:type="dxa"/>
        </w:tblCellMar>
        <w:tblLook w:val="04A0" w:firstRow="1" w:lastRow="0" w:firstColumn="1" w:lastColumn="0" w:noHBand="0" w:noVBand="1"/>
      </w:tblPr>
      <w:tblGrid>
        <w:gridCol w:w="451"/>
        <w:gridCol w:w="1732"/>
        <w:gridCol w:w="9034"/>
        <w:gridCol w:w="3952"/>
      </w:tblGrid>
      <w:tr w:rsidR="00606F8E" w:rsidRPr="00934BF4" w:rsidTr="003869E9">
        <w:tc>
          <w:tcPr>
            <w:tcW w:w="5000" w:type="pct"/>
            <w:gridSpan w:val="4"/>
            <w:shd w:val="clear" w:color="auto" w:fill="D9D9D9" w:themeFill="background1" w:themeFillShade="D9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b/>
                <w:sz w:val="18"/>
                <w:szCs w:val="18"/>
              </w:rPr>
              <w:t>Kryteria dopuszczalności</w:t>
            </w:r>
          </w:p>
        </w:tc>
      </w:tr>
      <w:tr w:rsidR="00606F8E" w:rsidRPr="00934BF4" w:rsidTr="003869E9">
        <w:tc>
          <w:tcPr>
            <w:tcW w:w="149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L.p.</w:t>
            </w:r>
          </w:p>
        </w:tc>
        <w:tc>
          <w:tcPr>
            <w:tcW w:w="552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Nazwa kryterium</w:t>
            </w:r>
          </w:p>
        </w:tc>
        <w:tc>
          <w:tcPr>
            <w:tcW w:w="2990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Definicja kryterium</w:t>
            </w:r>
          </w:p>
        </w:tc>
        <w:tc>
          <w:tcPr>
            <w:tcW w:w="1309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Opis znaczenia kryterium</w:t>
            </w:r>
          </w:p>
        </w:tc>
      </w:tr>
      <w:tr w:rsidR="00606F8E" w:rsidRPr="00934BF4" w:rsidTr="003869E9">
        <w:tc>
          <w:tcPr>
            <w:tcW w:w="149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1</w:t>
            </w:r>
          </w:p>
        </w:tc>
        <w:tc>
          <w:tcPr>
            <w:tcW w:w="552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2</w:t>
            </w:r>
          </w:p>
        </w:tc>
        <w:tc>
          <w:tcPr>
            <w:tcW w:w="2990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3</w:t>
            </w:r>
          </w:p>
        </w:tc>
        <w:tc>
          <w:tcPr>
            <w:tcW w:w="1309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4</w:t>
            </w:r>
          </w:p>
        </w:tc>
      </w:tr>
      <w:tr w:rsidR="00CB63DB" w:rsidRPr="00934BF4" w:rsidTr="003869E9">
        <w:tc>
          <w:tcPr>
            <w:tcW w:w="149" w:type="pct"/>
          </w:tcPr>
          <w:p w:rsidR="00CB63DB" w:rsidRPr="00934BF4" w:rsidRDefault="00CB63DB" w:rsidP="003869E9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</w:t>
            </w:r>
            <w:r w:rsidR="00831E1A">
              <w:rPr>
                <w:rFonts w:ascii="Myriad Pro" w:hAnsi="Myriad Pro"/>
                <w:sz w:val="18"/>
                <w:szCs w:val="18"/>
              </w:rPr>
              <w:t>.1</w:t>
            </w:r>
          </w:p>
        </w:tc>
        <w:tc>
          <w:tcPr>
            <w:tcW w:w="552" w:type="pct"/>
          </w:tcPr>
          <w:p w:rsidR="00CB63DB" w:rsidRPr="00934BF4" w:rsidRDefault="00CB63DB" w:rsidP="003869E9">
            <w:pPr>
              <w:rPr>
                <w:rFonts w:ascii="Myriad Pro" w:hAnsi="Myriad Pro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>Deinstytucjonalizacja</w:t>
            </w:r>
            <w:proofErr w:type="spellEnd"/>
          </w:p>
        </w:tc>
        <w:tc>
          <w:tcPr>
            <w:tcW w:w="2990" w:type="pct"/>
          </w:tcPr>
          <w:p w:rsidR="00CB63DB" w:rsidRPr="00934BF4" w:rsidRDefault="00CB63DB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CB63DB">
              <w:rPr>
                <w:rFonts w:ascii="Myriad Pro" w:hAnsi="Myriad Pro"/>
                <w:sz w:val="18"/>
                <w:szCs w:val="18"/>
                <w:lang w:eastAsia="en-US"/>
              </w:rPr>
              <w:t>Podmiot realizuje lub będzie realizował usługi świadczone w sposób zindywidualizowany (dostosowany do potrzeb i możliwości danej osoby) i umożliwiające osobom niezależne życie w środowisku lokalnym. Usługi te zapobiegają odizolowaniu osób od rodziny i środowiska lokalnego, a gdy to nie jest możliwe, gwarantują tym osobom warunki życia jak najbardziej zbliżone do warunków domowych i rodzinnych oraz umożliwiają podtrzymywanie więzi rodzinnych i sąsiedzkich.</w:t>
            </w:r>
          </w:p>
        </w:tc>
        <w:tc>
          <w:tcPr>
            <w:tcW w:w="1309" w:type="pct"/>
          </w:tcPr>
          <w:p w:rsidR="00CB63DB" w:rsidRPr="00934BF4" w:rsidRDefault="00CB63DB" w:rsidP="003869E9">
            <w:pPr>
              <w:tabs>
                <w:tab w:val="left" w:pos="1879"/>
              </w:tabs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 Projekty niespełniające kryterium są odrzucane. Ocena spełniania kryterium polega na przypisaniu wartości logicznych „tak”, „nie”.</w:t>
            </w:r>
          </w:p>
        </w:tc>
      </w:tr>
      <w:tr w:rsidR="00606F8E" w:rsidRPr="00934BF4" w:rsidTr="003869E9">
        <w:tc>
          <w:tcPr>
            <w:tcW w:w="149" w:type="pct"/>
          </w:tcPr>
          <w:p w:rsidR="00606F8E" w:rsidRPr="00934BF4" w:rsidRDefault="00831E1A" w:rsidP="003869E9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1.2</w:t>
            </w:r>
          </w:p>
        </w:tc>
        <w:tc>
          <w:tcPr>
            <w:tcW w:w="552" w:type="pct"/>
          </w:tcPr>
          <w:p w:rsidR="00606F8E" w:rsidRPr="008043E4" w:rsidRDefault="00606F8E" w:rsidP="003869E9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>Komplementarność projektu</w:t>
            </w:r>
          </w:p>
        </w:tc>
        <w:tc>
          <w:tcPr>
            <w:tcW w:w="2990" w:type="pct"/>
          </w:tcPr>
          <w:p w:rsidR="00606F8E" w:rsidRPr="00934BF4" w:rsidRDefault="00606F8E" w:rsidP="003869E9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Występuje komplementarność projektu</w:t>
            </w:r>
            <w:r w:rsidRPr="00934BF4">
              <w:rPr>
                <w:rFonts w:ascii="Myriad Pro" w:hAnsi="Myriad Pro" w:cs="Arial"/>
                <w:color w:val="000000"/>
                <w:sz w:val="18"/>
                <w:szCs w:val="18"/>
              </w:rPr>
              <w:t xml:space="preserve"> względem interwencji prowadzonej w ramach EFS.</w:t>
            </w:r>
          </w:p>
        </w:tc>
        <w:tc>
          <w:tcPr>
            <w:tcW w:w="1309" w:type="pct"/>
          </w:tcPr>
          <w:p w:rsidR="00606F8E" w:rsidRPr="00934BF4" w:rsidRDefault="00606F8E" w:rsidP="003869E9">
            <w:pPr>
              <w:tabs>
                <w:tab w:val="left" w:pos="1879"/>
              </w:tabs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 Projekty niespełniające kryterium są odrzucane. Ocena spełniania kryterium polega na przypisaniu wartości logicznych „tak”, „nie”.</w:t>
            </w:r>
          </w:p>
        </w:tc>
      </w:tr>
      <w:tr w:rsidR="00606F8E" w:rsidRPr="00934BF4" w:rsidTr="003869E9">
        <w:tc>
          <w:tcPr>
            <w:tcW w:w="149" w:type="pct"/>
          </w:tcPr>
          <w:p w:rsidR="00606F8E" w:rsidRPr="00934BF4" w:rsidRDefault="00831E1A" w:rsidP="003869E9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1.3</w:t>
            </w:r>
          </w:p>
        </w:tc>
        <w:tc>
          <w:tcPr>
            <w:tcW w:w="552" w:type="pct"/>
          </w:tcPr>
          <w:p w:rsidR="00606F8E" w:rsidRPr="00934BF4" w:rsidRDefault="00606F8E" w:rsidP="003869E9">
            <w:pPr>
              <w:rPr>
                <w:rFonts w:ascii="Myriad Pro" w:eastAsia="Times New Roman" w:hAnsi="Myriad Pro" w:cs="Calibri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Funkcjonowanie w publicznym systemie opieki zdrowotnej (NFZ)</w:t>
            </w:r>
          </w:p>
        </w:tc>
        <w:tc>
          <w:tcPr>
            <w:tcW w:w="2990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Projekt jest realizowany wyłącznie w podmiocie posiadającym umowę o udzielanie świadczeń opieki zdrowotnej ze środków publicznych w zakresie zbieżnym z zakresem projektu, a w przypadku projektu przewidującego rozwój działalności medycznej lub zwiększenie potencjału w tym zakresie, pod warunkiem zobowiązania się tego podmiotu do posiadania takiej umowy najpóźniej w kolejnym okresie kontraktowania świadczeń po zakończeniu realizacji projektu.</w:t>
            </w:r>
          </w:p>
        </w:tc>
        <w:tc>
          <w:tcPr>
            <w:tcW w:w="1309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Spełnienie kryterium jest konieczne do przyznania dofinansowania.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Projekty niespełniające kryterium są odrzucane.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Ocena spełniania kryterium polega na przypisaniu wartości logicznych „tak”, „nie”.</w:t>
            </w:r>
          </w:p>
        </w:tc>
      </w:tr>
      <w:tr w:rsidR="00606F8E" w:rsidRPr="00934BF4" w:rsidTr="003869E9">
        <w:tc>
          <w:tcPr>
            <w:tcW w:w="149" w:type="pct"/>
          </w:tcPr>
          <w:p w:rsidR="00606F8E" w:rsidRPr="00934BF4" w:rsidRDefault="00831E1A" w:rsidP="003869E9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1.4</w:t>
            </w:r>
          </w:p>
        </w:tc>
        <w:tc>
          <w:tcPr>
            <w:tcW w:w="552" w:type="pct"/>
          </w:tcPr>
          <w:p w:rsidR="00606F8E" w:rsidRPr="00934BF4" w:rsidRDefault="00606F8E" w:rsidP="003869E9">
            <w:pPr>
              <w:rPr>
                <w:rFonts w:ascii="Myriad Pro" w:hAnsi="Myriad Pro" w:cstheme="minorHAnsi"/>
                <w:sz w:val="18"/>
                <w:szCs w:val="18"/>
              </w:rPr>
            </w:pPr>
            <w:r w:rsidRPr="00934BF4">
              <w:rPr>
                <w:rFonts w:ascii="Myriad Pro" w:hAnsi="Myriad Pro" w:cstheme="minorHAnsi"/>
                <w:sz w:val="18"/>
                <w:szCs w:val="18"/>
              </w:rPr>
              <w:t>Opinia o celowości inwestycji</w:t>
            </w:r>
          </w:p>
        </w:tc>
        <w:tc>
          <w:tcPr>
            <w:tcW w:w="2990" w:type="pct"/>
          </w:tcPr>
          <w:p w:rsidR="00606F8E" w:rsidRPr="00934BF4" w:rsidRDefault="00606F8E" w:rsidP="003869E9">
            <w:pPr>
              <w:rPr>
                <w:rFonts w:ascii="Myriad Pro" w:hAnsi="Myriad Pro" w:cstheme="minorHAnsi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Projekt posiada pozytywną Opinia o celowości inwestycji o której mowa w art. 95d. ustawy z dnia 27 sierpnia 2004 r. o świadczeniach opieki zdrowotnej finansowanych ze środków publicznych.  OCI (OCI jest załącznikiem do wniosku o dofinansowanie).</w:t>
            </w:r>
          </w:p>
        </w:tc>
        <w:tc>
          <w:tcPr>
            <w:tcW w:w="1309" w:type="pct"/>
          </w:tcPr>
          <w:p w:rsidR="00606F8E" w:rsidRPr="00934BF4" w:rsidRDefault="00606F8E" w:rsidP="003869E9">
            <w:pPr>
              <w:rPr>
                <w:rFonts w:ascii="Myriad Pro" w:eastAsia="Times New Roman" w:hAnsi="Myriad Pro" w:cs="Calibri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sz w:val="18"/>
                <w:szCs w:val="18"/>
              </w:rPr>
              <w:t xml:space="preserve">Spełnienie kryterium jest konieczne do przyznania dofinansowania. 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sz w:val="18"/>
                <w:szCs w:val="18"/>
              </w:rPr>
              <w:t>Projekty niespełniające kryterium są odrzucane.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sz w:val="18"/>
                <w:szCs w:val="18"/>
              </w:rPr>
              <w:t>Ocena spełniania kryterium polega na przypisaniu wartości logicznych „tak”, „nie”, „nie dotyczy”</w:t>
            </w:r>
          </w:p>
        </w:tc>
      </w:tr>
      <w:tr w:rsidR="00606F8E" w:rsidRPr="00934BF4" w:rsidTr="003869E9">
        <w:tc>
          <w:tcPr>
            <w:tcW w:w="149" w:type="pct"/>
          </w:tcPr>
          <w:p w:rsidR="00606F8E" w:rsidRPr="00934BF4" w:rsidRDefault="00831E1A" w:rsidP="003869E9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1.5</w:t>
            </w:r>
          </w:p>
        </w:tc>
        <w:tc>
          <w:tcPr>
            <w:tcW w:w="552" w:type="pct"/>
          </w:tcPr>
          <w:p w:rsidR="00606F8E" w:rsidRPr="00934BF4" w:rsidRDefault="00606F8E" w:rsidP="003869E9">
            <w:pPr>
              <w:rPr>
                <w:rFonts w:ascii="Myriad Pro" w:hAnsi="Myriad Pro" w:cstheme="minorHAnsi"/>
                <w:sz w:val="18"/>
                <w:szCs w:val="18"/>
              </w:rPr>
            </w:pPr>
            <w:r w:rsidRPr="00934BF4">
              <w:rPr>
                <w:rFonts w:ascii="Myriad Pro" w:hAnsi="Myriad Pro" w:cstheme="minorHAnsi"/>
                <w:sz w:val="18"/>
                <w:szCs w:val="18"/>
              </w:rPr>
              <w:t>Łóżka szpitalne</w:t>
            </w:r>
          </w:p>
        </w:tc>
        <w:tc>
          <w:tcPr>
            <w:tcW w:w="2990" w:type="pct"/>
          </w:tcPr>
          <w:p w:rsidR="00606F8E" w:rsidRPr="00934BF4" w:rsidRDefault="00606F8E" w:rsidP="003869E9">
            <w:pPr>
              <w:pStyle w:val="Teksttreci0"/>
              <w:shd w:val="clear" w:color="auto" w:fill="auto"/>
              <w:tabs>
                <w:tab w:val="left" w:pos="378"/>
              </w:tabs>
              <w:spacing w:before="0" w:after="60" w:line="240" w:lineRule="auto"/>
              <w:ind w:right="20" w:firstLine="0"/>
              <w:jc w:val="both"/>
              <w:rPr>
                <w:rFonts w:ascii="Myriad Pro" w:eastAsiaTheme="minorHAnsi" w:hAnsi="Myriad Pro" w:cstheme="minorBidi"/>
                <w:sz w:val="18"/>
                <w:szCs w:val="18"/>
              </w:rPr>
            </w:pPr>
            <w:r w:rsidRPr="00934BF4">
              <w:rPr>
                <w:rFonts w:ascii="Myriad Pro" w:eastAsiaTheme="minorHAnsi" w:hAnsi="Myriad Pro" w:cstheme="minorBidi"/>
                <w:sz w:val="18"/>
                <w:szCs w:val="18"/>
              </w:rPr>
              <w:t>Projekty nie zakładają zwiększenia liczby łóżek szpitalnych</w:t>
            </w:r>
          </w:p>
          <w:p w:rsidR="00606F8E" w:rsidRPr="00934BF4" w:rsidRDefault="00606F8E" w:rsidP="003869E9">
            <w:pPr>
              <w:pStyle w:val="Tekstkomentarza"/>
              <w:rPr>
                <w:sz w:val="18"/>
                <w:szCs w:val="18"/>
              </w:rPr>
            </w:pPr>
            <w:r w:rsidRPr="00934BF4">
              <w:rPr>
                <w:sz w:val="18"/>
                <w:szCs w:val="18"/>
              </w:rPr>
              <w:t xml:space="preserve">(Chyba, że taka potrzeba wynika z danych, o których mowa w mapach potrzeb zdrowotnych lub projekt zakłada </w:t>
            </w:r>
            <w:r w:rsidRPr="00934BF4">
              <w:rPr>
                <w:sz w:val="18"/>
                <w:szCs w:val="18"/>
              </w:rPr>
              <w:lastRenderedPageBreak/>
              <w:t>konsolidację dwóch lub więcej oddziałów szpitalnych/szpitali, przy czym liczba łóżek szpitalnych w skonsolidowanej jednostce nie może być większa niż suma łóżek w konsolidowanych oddziałach szpitalnych/szpitalach (chyba, że taka potrzeba wynika z map potrzeb zdrowotnych) – dotyczy szpitali”.)</w:t>
            </w:r>
          </w:p>
        </w:tc>
        <w:tc>
          <w:tcPr>
            <w:tcW w:w="1309" w:type="pct"/>
          </w:tcPr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lastRenderedPageBreak/>
              <w:t>Spełnienie kryterium jest konieczne do przyznania dofinansowania.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 xml:space="preserve">Projekty niespełniające kryterium są odrzucane. 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lastRenderedPageBreak/>
              <w:t>Ocena spełniania kryterium polega na przypisaniu wartości logicznych „tak”, „nie”.</w:t>
            </w:r>
          </w:p>
        </w:tc>
      </w:tr>
      <w:tr w:rsidR="00606F8E" w:rsidRPr="00934BF4" w:rsidTr="003869E9">
        <w:tc>
          <w:tcPr>
            <w:tcW w:w="149" w:type="pct"/>
          </w:tcPr>
          <w:p w:rsidR="00606F8E" w:rsidRPr="00934BF4" w:rsidRDefault="00831E1A" w:rsidP="003869E9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lastRenderedPageBreak/>
              <w:t>1.6</w:t>
            </w:r>
          </w:p>
        </w:tc>
        <w:tc>
          <w:tcPr>
            <w:tcW w:w="552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Zgodność z celem szczegółowym i rezultatami priorytetu inwestycyjnego</w:t>
            </w:r>
          </w:p>
        </w:tc>
        <w:tc>
          <w:tcPr>
            <w:tcW w:w="2990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Projekt koresponduje ze wskaźnikami strategicznymi określonymi w RPO WZ 2014-2020. Projekt jest zgodny z celem działania oraz wpływa na osiągnięcie wskaźnika rezultatu określonych w SOOP.</w:t>
            </w:r>
          </w:p>
        </w:tc>
        <w:tc>
          <w:tcPr>
            <w:tcW w:w="1309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Spełnienie kryterium jest konieczne do przyznania dofinansowania.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Projekty niespełniające kryterium są odrzucane. 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Ocena spełniania kryterium polega na przypisaniu wartości logicznych „tak”, „nie”.</w:t>
            </w:r>
          </w:p>
        </w:tc>
      </w:tr>
      <w:tr w:rsidR="00606F8E" w:rsidRPr="00934BF4" w:rsidTr="003869E9">
        <w:tc>
          <w:tcPr>
            <w:tcW w:w="149" w:type="pct"/>
          </w:tcPr>
          <w:p w:rsidR="00606F8E" w:rsidRPr="00934BF4" w:rsidRDefault="00831E1A" w:rsidP="003869E9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1.7</w:t>
            </w:r>
          </w:p>
        </w:tc>
        <w:tc>
          <w:tcPr>
            <w:tcW w:w="552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Zgodność z typami projektów</w:t>
            </w:r>
          </w:p>
        </w:tc>
        <w:tc>
          <w:tcPr>
            <w:tcW w:w="2990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Projekt jest zgodny z typami projektów wskazanymi w </w:t>
            </w:r>
            <w:r w:rsidR="006B680F" w:rsidRPr="008E1E3A">
              <w:rPr>
                <w:rFonts w:ascii="Myriad Pro" w:hAnsi="Myriad Pro"/>
                <w:sz w:val="18"/>
                <w:szCs w:val="18"/>
              </w:rPr>
              <w:t>SOOP</w:t>
            </w:r>
            <w:r w:rsidRPr="008E1E3A">
              <w:rPr>
                <w:rFonts w:ascii="Myriad Pro" w:hAnsi="Myriad Pro"/>
                <w:sz w:val="18"/>
                <w:szCs w:val="18"/>
              </w:rPr>
              <w:t>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Opis projektu wskazuje na zgodność ze wskazanym przez Wnioskodawcę typem projektu. Charakter przewidywanych działań, wskaźniki produktu, wydatki kwalifikowalne dają pewność, że mamy do czynienia z typem projektu zaplanowanym do wsparcia w ramach działania 9.1</w:t>
            </w:r>
          </w:p>
        </w:tc>
        <w:tc>
          <w:tcPr>
            <w:tcW w:w="1309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Spełnienie kryterium jest konieczne do przyznania dofinansowania.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Projekty niespełniające kryterium są odrzucane.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Ocena spełniania kryterium polega na przypisaniu wartości logicznych „tak”, „nie”.</w:t>
            </w:r>
          </w:p>
        </w:tc>
      </w:tr>
      <w:tr w:rsidR="00606F8E" w:rsidRPr="00934BF4" w:rsidTr="003869E9">
        <w:tc>
          <w:tcPr>
            <w:tcW w:w="149" w:type="pct"/>
          </w:tcPr>
          <w:p w:rsidR="00606F8E" w:rsidRPr="00934BF4" w:rsidRDefault="00831E1A" w:rsidP="003869E9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1.8</w:t>
            </w:r>
          </w:p>
        </w:tc>
        <w:tc>
          <w:tcPr>
            <w:tcW w:w="552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Zgodność z zasadami horyzontalnymi</w:t>
            </w:r>
          </w:p>
        </w:tc>
        <w:tc>
          <w:tcPr>
            <w:tcW w:w="2990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Projekt jest zgodny z właściwymi politykami i zasadami wspólnotowymi:</w:t>
            </w:r>
          </w:p>
          <w:p w:rsidR="00606F8E" w:rsidRDefault="00606F8E" w:rsidP="00606F8E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934BF4">
              <w:rPr>
                <w:sz w:val="18"/>
                <w:szCs w:val="18"/>
              </w:rPr>
              <w:t>zrównoważonego rozwoju,</w:t>
            </w:r>
          </w:p>
          <w:p w:rsidR="00606F8E" w:rsidRDefault="00606F8E" w:rsidP="00606F8E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934BF4">
              <w:rPr>
                <w:sz w:val="18"/>
                <w:szCs w:val="18"/>
              </w:rPr>
              <w:t xml:space="preserve">promowania i realizacji zasady równości szans i niedyskryminacji, w tym. m. in. koniecznością stosowania zasady uniwersalnego projektowania. 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Uniwersalne projektowanie to projektowanie produktów, środowiska, programów i usług w taki sposób, by były użyteczne dla wszystkich, w możliwie największym stopniu, bez potrzeby późniejszej adaptacji lub specjalistycznego projektowania. 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Projekt zakłada dostępność dla jak najszerszego grona odbiorców, w szczególności osób z niepełnosprawnościami.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Nie ma możliwości wsparcia projektu, który nie spełnia ww. przesłanek.</w:t>
            </w:r>
          </w:p>
        </w:tc>
        <w:tc>
          <w:tcPr>
            <w:tcW w:w="1309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Spełnienie kryterium jest konieczne do przyznania dofinansowania.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Projekty niespełniające kryterium są odrzucane.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Ocena spełniania kryterium polega na przypisaniu wartości logicznych „tak”, „nie”.</w:t>
            </w:r>
          </w:p>
        </w:tc>
      </w:tr>
      <w:tr w:rsidR="00606F8E" w:rsidRPr="00934BF4" w:rsidTr="003869E9">
        <w:tc>
          <w:tcPr>
            <w:tcW w:w="149" w:type="pct"/>
          </w:tcPr>
          <w:p w:rsidR="00606F8E" w:rsidRPr="00934BF4" w:rsidRDefault="00831E1A" w:rsidP="003869E9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1.9</w:t>
            </w:r>
          </w:p>
        </w:tc>
        <w:tc>
          <w:tcPr>
            <w:tcW w:w="552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Zasadność realizacji projektu</w:t>
            </w:r>
          </w:p>
        </w:tc>
        <w:tc>
          <w:tcPr>
            <w:tcW w:w="2990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Potrzeba realizacji danego projektu jest zrozumiała i jasno wynika ze zidentyfikowanych potrzeb</w:t>
            </w:r>
            <w:r w:rsidRPr="00934BF4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>.</w:t>
            </w:r>
          </w:p>
          <w:p w:rsidR="00606F8E" w:rsidRPr="00934BF4" w:rsidRDefault="00606F8E" w:rsidP="003869E9">
            <w:pPr>
              <w:autoSpaceDE w:val="0"/>
              <w:autoSpaceDN w:val="0"/>
              <w:adjustRightInd w:val="0"/>
              <w:spacing w:after="120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 xml:space="preserve">Cele projektu są poprawnie określone i zbieżne z analizą potrzeb. 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Zaplanowane w ramach projektu działania, w tym w szczególności w zakresie zakupu wyrobów medycznych, są uzasadnione z punktu widzenia rzeczywistego zapotrzebowania na dany produkt (wytworzona infrastruktura, w tym ilość, parametry wyrobu medycznego muszą być adekwatne do zakresu udzielanych przez podmiot świadczeń opieki zdrowotnej lub, w przypadku poszerzania oferty medycznej, odpowiadać na zidentyfikowane deficyty podaży świadczeń).</w:t>
            </w:r>
          </w:p>
        </w:tc>
        <w:tc>
          <w:tcPr>
            <w:tcW w:w="1309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Spełnienie kryterium jest konieczne do przyznania dofinansowania.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Projekty niespełniające kryterium są odrzucane.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Ocena spełniania kryterium polega na przypisaniu wartości logicznych „tak”, „nie”.</w:t>
            </w:r>
          </w:p>
        </w:tc>
      </w:tr>
      <w:tr w:rsidR="00606F8E" w:rsidRPr="00934BF4" w:rsidTr="003869E9">
        <w:tc>
          <w:tcPr>
            <w:tcW w:w="149" w:type="pct"/>
          </w:tcPr>
          <w:p w:rsidR="00606F8E" w:rsidRPr="00934BF4" w:rsidRDefault="00831E1A" w:rsidP="003869E9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1.10</w:t>
            </w:r>
          </w:p>
        </w:tc>
        <w:tc>
          <w:tcPr>
            <w:tcW w:w="552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Zgodność realizacji projektu przed dniem złożenia wniosku o dofinansowanie </w:t>
            </w:r>
          </w:p>
        </w:tc>
        <w:tc>
          <w:tcPr>
            <w:tcW w:w="2990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Jeżeli projekt rozpoczął się przed dniem złożenia wniosku o dofinansowanie, to przestrzegano obowiązujących przepisów prawa dotyczących danego projektu, zgodnie z art. 125 ust. 3 lit. e) rozporządzenia (UE) 1303/2013 z 17 grudnia 2013 r.</w:t>
            </w:r>
          </w:p>
        </w:tc>
        <w:tc>
          <w:tcPr>
            <w:tcW w:w="1309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Spełnienie kryterium jest konieczne do przyznania dofinansowania.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Projekty niespełniające kryterium są odrzucane.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Ocena spełniania kryterium polega na przypisaniu wartości logicznych „tak”, „nie”.</w:t>
            </w:r>
          </w:p>
        </w:tc>
      </w:tr>
      <w:tr w:rsidR="00606F8E" w:rsidRPr="00934BF4" w:rsidTr="003869E9">
        <w:trPr>
          <w:trHeight w:val="629"/>
        </w:trPr>
        <w:tc>
          <w:tcPr>
            <w:tcW w:w="149" w:type="pct"/>
          </w:tcPr>
          <w:p w:rsidR="00606F8E" w:rsidRPr="00934BF4" w:rsidRDefault="00831E1A" w:rsidP="003869E9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1.11</w:t>
            </w:r>
          </w:p>
        </w:tc>
        <w:tc>
          <w:tcPr>
            <w:tcW w:w="552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Kwalifikowalność projektu</w:t>
            </w:r>
          </w:p>
        </w:tc>
        <w:tc>
          <w:tcPr>
            <w:tcW w:w="2990" w:type="pct"/>
            <w:shd w:val="clear" w:color="auto" w:fill="auto"/>
          </w:tcPr>
          <w:p w:rsidR="00606F8E" w:rsidRPr="00934BF4" w:rsidRDefault="00606F8E" w:rsidP="003869E9">
            <w:pPr>
              <w:autoSpaceDE w:val="0"/>
              <w:autoSpaceDN w:val="0"/>
              <w:adjustRightInd w:val="0"/>
              <w:spacing w:after="120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eastAsia="MyriadPro-Regular" w:hAnsi="Myriad Pro" w:cs="MyriadPro-Regular"/>
                <w:sz w:val="18"/>
                <w:szCs w:val="18"/>
              </w:rPr>
              <w:t>Operacja wybrana do dofinansowania z funduszy nie obejmuje przedsięwzięcia będącego częścią operacji, która została objęta lub powinna była zostać objęta procedurą odzyskiwania zgodnie z art. 71 Rozporządzenia Parlamentu i Rady (UE) nr 1303/2013 z dnia 17 grudnia 2013 r. Przedmiot projektu jest zgodny z uwarunkowaniami wskazanymi w opisie działania w SOOP</w:t>
            </w:r>
            <w:bookmarkStart w:id="0" w:name="_GoBack"/>
            <w:bookmarkEnd w:id="0"/>
            <w:r w:rsidRPr="008146F6">
              <w:rPr>
                <w:rFonts w:ascii="Myriad Pro" w:eastAsia="MyriadPro-Regular" w:hAnsi="Myriad Pro" w:cs="MyriadPro-Regular"/>
                <w:sz w:val="18"/>
                <w:szCs w:val="18"/>
              </w:rPr>
              <w:t>.</w:t>
            </w:r>
          </w:p>
          <w:p w:rsidR="00606F8E" w:rsidRPr="00934BF4" w:rsidRDefault="00606F8E" w:rsidP="003869E9">
            <w:pPr>
              <w:spacing w:after="120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Projekt jest zgodny z właściwą mapą potrzeb zdrowotnych. (Zgodność z właściwą mapą potrzeb zdrowotnych </w:t>
            </w:r>
            <w:r w:rsidRPr="00934BF4">
              <w:rPr>
                <w:rFonts w:ascii="Myriad Pro" w:hAnsi="Myriad Pro"/>
                <w:sz w:val="18"/>
                <w:szCs w:val="18"/>
              </w:rPr>
              <w:lastRenderedPageBreak/>
              <w:t>oceniana jest przez Komisję Oceny Projektów na podstawie uzasadnienia wnioskodawcy zawartego we wniosku o dofinansowanie oraz OCI (jeśli projekt posiada OCI)).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Projekty dotyczące oddziałów o charakterze położniczym mogą być realizowane wyłącznie przez podmioty, które:</w:t>
            </w:r>
          </w:p>
          <w:p w:rsidR="00606F8E" w:rsidRDefault="00606F8E" w:rsidP="00606F8E">
            <w:pPr>
              <w:pStyle w:val="Teksttreci0"/>
              <w:numPr>
                <w:ilvl w:val="0"/>
                <w:numId w:val="2"/>
              </w:numPr>
              <w:shd w:val="clear" w:color="auto" w:fill="auto"/>
              <w:tabs>
                <w:tab w:val="left" w:pos="422"/>
              </w:tabs>
              <w:spacing w:before="0" w:after="62"/>
              <w:ind w:left="420" w:right="20"/>
              <w:jc w:val="both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zgodnie z prognozą zapotrzebowania na placówki położnicze przedstawioną w mapie potrzeb w zakresie ciąży, porodu i połogu oraz opieki nad noworodkiem wykazują potencjał na przeprowadzenie minimum 400 porodów w 2020 r., lub </w:t>
            </w:r>
          </w:p>
          <w:p w:rsidR="00606F8E" w:rsidRDefault="00606F8E" w:rsidP="00606F8E">
            <w:pPr>
              <w:pStyle w:val="Teksttreci0"/>
              <w:numPr>
                <w:ilvl w:val="0"/>
                <w:numId w:val="2"/>
              </w:numPr>
              <w:shd w:val="clear" w:color="auto" w:fill="auto"/>
              <w:tabs>
                <w:tab w:val="left" w:pos="422"/>
              </w:tabs>
              <w:spacing w:before="0" w:after="62"/>
              <w:ind w:left="420" w:right="20"/>
              <w:jc w:val="both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ich funkcjonowanie jest niezbędne z punktu zapewnienia szybkiego dostępu do świadczeń położniczych, tj. jako jedyne zapewniają świadczenia w promieniu 40 km lub </w:t>
            </w:r>
          </w:p>
          <w:p w:rsidR="00606F8E" w:rsidRPr="008043E4" w:rsidRDefault="00606F8E" w:rsidP="00606F8E">
            <w:pPr>
              <w:pStyle w:val="Teksttreci0"/>
              <w:numPr>
                <w:ilvl w:val="0"/>
                <w:numId w:val="2"/>
              </w:numPr>
              <w:shd w:val="clear" w:color="auto" w:fill="auto"/>
              <w:tabs>
                <w:tab w:val="left" w:pos="422"/>
              </w:tabs>
              <w:spacing w:before="0" w:after="62" w:line="240" w:lineRule="auto"/>
              <w:ind w:left="420" w:right="20"/>
              <w:jc w:val="both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w wyniku realizacji projektu przeprowadzą 400 porodów i jednocześnie  zmiana udziału porodów powikłanych wśród wszystkich porodów będzie nie większa niż zmiana ogólnopolska. 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Projekty dotyczące oddziałów pediatrycznych mogą być realizowane wyłącznie przez podmioty, które sprawozdały co najmniej 700 hospitalizacji na oddziale pediatrycznym. </w:t>
            </w:r>
          </w:p>
          <w:p w:rsidR="00606F8E" w:rsidRPr="00934BF4" w:rsidRDefault="00606F8E" w:rsidP="003869E9">
            <w:pPr>
              <w:spacing w:after="120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Projekty dotyczące oddziałów o charakterze zabiegowym mogą być realizowane wyłącznie na rzecz oddziału, w którym udział świadczeń zabiegowych we wszystkich świadczeniach udzielanych na tym oddziale wynosi co najmniej 50%.</w:t>
            </w:r>
          </w:p>
          <w:p w:rsidR="00606F8E" w:rsidRPr="00934BF4" w:rsidRDefault="00606F8E" w:rsidP="003869E9">
            <w:pPr>
              <w:pStyle w:val="Teksttreci20"/>
              <w:shd w:val="clear" w:color="auto" w:fill="auto"/>
              <w:tabs>
                <w:tab w:val="left" w:pos="253"/>
              </w:tabs>
              <w:spacing w:after="60" w:line="240" w:lineRule="auto"/>
              <w:ind w:firstLine="0"/>
              <w:jc w:val="both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Projekt z zakresu kardiologii nie może przewidywać:</w:t>
            </w:r>
          </w:p>
          <w:p w:rsidR="00606F8E" w:rsidRDefault="00606F8E" w:rsidP="00606F8E">
            <w:pPr>
              <w:pStyle w:val="Teksttreci0"/>
              <w:numPr>
                <w:ilvl w:val="0"/>
                <w:numId w:val="2"/>
              </w:numPr>
              <w:shd w:val="clear" w:color="auto" w:fill="auto"/>
              <w:tabs>
                <w:tab w:val="left" w:pos="422"/>
              </w:tabs>
              <w:spacing w:before="0" w:after="62"/>
              <w:ind w:left="420" w:right="20"/>
              <w:jc w:val="both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zwiększenia liczby pracowni lub stołów hemodynamicznych – chyba, że taka potrzeba wynika z map potrzeb zdrowotnych;</w:t>
            </w:r>
          </w:p>
          <w:p w:rsidR="00606F8E" w:rsidRDefault="00606F8E" w:rsidP="00606F8E">
            <w:pPr>
              <w:pStyle w:val="Teksttreci0"/>
              <w:numPr>
                <w:ilvl w:val="0"/>
                <w:numId w:val="2"/>
              </w:numPr>
              <w:shd w:val="clear" w:color="auto" w:fill="auto"/>
              <w:tabs>
                <w:tab w:val="left" w:pos="418"/>
              </w:tabs>
              <w:spacing w:before="0" w:after="58"/>
              <w:ind w:left="420" w:right="20"/>
              <w:jc w:val="both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wymiany stołu hemodynamicznego – chyba, że taki wydatek zostanie uzasadniony stopniem zużycia urządzenia; </w:t>
            </w:r>
          </w:p>
          <w:p w:rsidR="00606F8E" w:rsidRDefault="00606F8E" w:rsidP="00606F8E">
            <w:pPr>
              <w:pStyle w:val="Teksttreci0"/>
              <w:numPr>
                <w:ilvl w:val="0"/>
                <w:numId w:val="2"/>
              </w:numPr>
              <w:shd w:val="clear" w:color="auto" w:fill="auto"/>
              <w:tabs>
                <w:tab w:val="left" w:pos="425"/>
              </w:tabs>
              <w:spacing w:before="0" w:after="62"/>
              <w:ind w:left="420" w:right="20"/>
              <w:jc w:val="both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utworzenia nowego ośrodka kardiochirurgicznego - chyba, że taka potrzeba wynika z map potrzeb zdrowotnych;</w:t>
            </w:r>
          </w:p>
          <w:p w:rsidR="00606F8E" w:rsidRPr="008043E4" w:rsidRDefault="00606F8E" w:rsidP="00606F8E">
            <w:pPr>
              <w:pStyle w:val="Teksttreci0"/>
              <w:numPr>
                <w:ilvl w:val="0"/>
                <w:numId w:val="2"/>
              </w:numPr>
              <w:shd w:val="clear" w:color="auto" w:fill="auto"/>
              <w:tabs>
                <w:tab w:val="left" w:pos="425"/>
              </w:tabs>
              <w:spacing w:before="0" w:after="62" w:line="240" w:lineRule="auto"/>
              <w:ind w:left="420" w:right="20"/>
              <w:jc w:val="both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utworzenia nowego ośrodka kardiochirurgicznego dla dzieci - chyba, że taka potrzeba wynika z map potrzeb zdrowotnych</w:t>
            </w:r>
            <w:r w:rsidRPr="00934BF4">
              <w:rPr>
                <w:rStyle w:val="Odwoaniedokomentarza"/>
                <w:rFonts w:ascii="Myriad Pro" w:hAnsi="Myriad Pro"/>
                <w:sz w:val="18"/>
                <w:szCs w:val="18"/>
              </w:rPr>
              <w:t>.</w:t>
            </w:r>
          </w:p>
          <w:p w:rsidR="00606F8E" w:rsidRPr="00934BF4" w:rsidRDefault="00606F8E" w:rsidP="003869E9">
            <w:pPr>
              <w:pStyle w:val="Teksttreci20"/>
              <w:shd w:val="clear" w:color="auto" w:fill="auto"/>
              <w:tabs>
                <w:tab w:val="left" w:pos="250"/>
              </w:tabs>
              <w:spacing w:after="63" w:line="240" w:lineRule="auto"/>
              <w:ind w:firstLine="0"/>
              <w:jc w:val="both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Projekt z zakresu onkologii nie może przewidywać:</w:t>
            </w:r>
          </w:p>
          <w:p w:rsidR="00606F8E" w:rsidRDefault="00606F8E" w:rsidP="00606F8E">
            <w:pPr>
              <w:pStyle w:val="Teksttreci0"/>
              <w:numPr>
                <w:ilvl w:val="0"/>
                <w:numId w:val="2"/>
              </w:numPr>
              <w:shd w:val="clear" w:color="auto" w:fill="auto"/>
              <w:tabs>
                <w:tab w:val="left" w:pos="415"/>
              </w:tabs>
              <w:spacing w:before="0" w:after="56"/>
              <w:ind w:left="420" w:right="20"/>
              <w:jc w:val="both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zwiększania liczby urządzeń do Pozytonowej Tomografii Emisyjnej (PET) - chyba, że taka potrzeba wynika z map potrzeb zdrowotnych;</w:t>
            </w:r>
          </w:p>
          <w:p w:rsidR="00606F8E" w:rsidRDefault="00606F8E" w:rsidP="00606F8E">
            <w:pPr>
              <w:pStyle w:val="Teksttreci0"/>
              <w:numPr>
                <w:ilvl w:val="0"/>
                <w:numId w:val="2"/>
              </w:numPr>
              <w:shd w:val="clear" w:color="auto" w:fill="auto"/>
              <w:tabs>
                <w:tab w:val="left" w:pos="415"/>
              </w:tabs>
              <w:spacing w:before="0" w:after="56"/>
              <w:ind w:left="420" w:right="20"/>
              <w:jc w:val="both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wymiany PET – chyba, że taki wydatek zostanie uzasadniony stopniem zużycia urządzenia;</w:t>
            </w:r>
          </w:p>
          <w:p w:rsidR="00606F8E" w:rsidRDefault="00606F8E" w:rsidP="00606F8E">
            <w:pPr>
              <w:pStyle w:val="Teksttreci0"/>
              <w:numPr>
                <w:ilvl w:val="0"/>
                <w:numId w:val="2"/>
              </w:numPr>
              <w:shd w:val="clear" w:color="auto" w:fill="auto"/>
              <w:tabs>
                <w:tab w:val="left" w:pos="415"/>
              </w:tabs>
              <w:spacing w:before="0" w:after="56"/>
              <w:ind w:left="420" w:right="20"/>
              <w:jc w:val="both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 utworzenia nowego ośrodka chemioterapii - chyba, że taka potrzeba wynika z map potrzeb zdrowotnych; </w:t>
            </w:r>
          </w:p>
          <w:p w:rsidR="00606F8E" w:rsidRDefault="00606F8E" w:rsidP="00606F8E">
            <w:pPr>
              <w:pStyle w:val="Teksttreci0"/>
              <w:numPr>
                <w:ilvl w:val="0"/>
                <w:numId w:val="2"/>
              </w:numPr>
              <w:shd w:val="clear" w:color="auto" w:fill="auto"/>
              <w:tabs>
                <w:tab w:val="left" w:pos="413"/>
              </w:tabs>
              <w:spacing w:before="0" w:after="58"/>
              <w:ind w:left="420" w:right="20"/>
              <w:jc w:val="both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zakupu dodatkowego akceleratora liniowego do </w:t>
            </w:r>
            <w:proofErr w:type="spellStart"/>
            <w:r w:rsidRPr="00934BF4">
              <w:rPr>
                <w:rFonts w:ascii="Myriad Pro" w:hAnsi="Myriad Pro"/>
                <w:sz w:val="18"/>
                <w:szCs w:val="18"/>
              </w:rPr>
              <w:t>teleradioterapii</w:t>
            </w:r>
            <w:proofErr w:type="spellEnd"/>
            <w:r w:rsidRPr="00934BF4">
              <w:rPr>
                <w:rFonts w:ascii="Myriad Pro" w:hAnsi="Myriad Pro"/>
                <w:sz w:val="18"/>
                <w:szCs w:val="18"/>
              </w:rPr>
              <w:t xml:space="preserve"> - chyba, że taka potrzeba wynika z map potrzeb zdrowotnych oraz jedynie w miastach wskazanych we właściwej mapie;</w:t>
            </w:r>
          </w:p>
          <w:p w:rsidR="00606F8E" w:rsidRPr="008043E4" w:rsidRDefault="00606F8E" w:rsidP="00606F8E">
            <w:pPr>
              <w:pStyle w:val="Teksttreci0"/>
              <w:numPr>
                <w:ilvl w:val="0"/>
                <w:numId w:val="2"/>
              </w:numPr>
              <w:shd w:val="clear" w:color="auto" w:fill="auto"/>
              <w:tabs>
                <w:tab w:val="left" w:pos="413"/>
              </w:tabs>
              <w:spacing w:before="0" w:after="0" w:line="240" w:lineRule="auto"/>
              <w:ind w:left="420" w:right="20"/>
              <w:jc w:val="both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wymiany akceleratora liniowego do </w:t>
            </w:r>
            <w:proofErr w:type="spellStart"/>
            <w:r w:rsidRPr="00934BF4">
              <w:rPr>
                <w:rFonts w:ascii="Myriad Pro" w:hAnsi="Myriad Pro"/>
                <w:sz w:val="18"/>
                <w:szCs w:val="18"/>
              </w:rPr>
              <w:t>teleradioterapii</w:t>
            </w:r>
            <w:proofErr w:type="spellEnd"/>
            <w:r w:rsidRPr="00934BF4">
              <w:rPr>
                <w:rFonts w:ascii="Myriad Pro" w:hAnsi="Myriad Pro"/>
                <w:sz w:val="18"/>
                <w:szCs w:val="18"/>
              </w:rPr>
              <w:t xml:space="preserve"> – chyba, że taki wydatek zostanie uzasadniony stopniem zużycia urządzenia, w tym w szczególności gdy urządzenie ma więcej niż 10 lat.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Projekty z zakresu onkologii związane z rozwojem usług medycznych lecznictwa onkologicznego w zakresie zabiegów chirurgicznych, w szczególności dotyczące </w:t>
            </w:r>
            <w:proofErr w:type="spellStart"/>
            <w:r w:rsidRPr="00934BF4">
              <w:rPr>
                <w:rFonts w:ascii="Myriad Pro" w:hAnsi="Myriad Pro"/>
                <w:sz w:val="18"/>
                <w:szCs w:val="18"/>
              </w:rPr>
              <w:t>sal</w:t>
            </w:r>
            <w:proofErr w:type="spellEnd"/>
            <w:r w:rsidRPr="00934BF4">
              <w:rPr>
                <w:rFonts w:ascii="Myriad Pro" w:hAnsi="Myriad Pro"/>
                <w:sz w:val="18"/>
                <w:szCs w:val="18"/>
              </w:rPr>
              <w:t xml:space="preserve"> operacyjnych, mogą być realizowane wyłącznie przez podmiot leczniczy, który przekroczył wartość progową (próg odcięcia) 60 zrealizowanych radykalnych i oszczędzających zabiegów chirurgicznych rocznie dla nowotworów danej grupy narządowej. Radykalne zabiegi chirurgiczne rozumiane są zgodnie z listą procedur wg klasyfikacji ICD9 zaklasyfikowanych jako zabiegi radykalne w wybranych grupach </w:t>
            </w:r>
            <w:r w:rsidRPr="00934BF4">
              <w:rPr>
                <w:rFonts w:ascii="Myriad Pro" w:hAnsi="Myriad Pro"/>
                <w:sz w:val="18"/>
                <w:szCs w:val="18"/>
              </w:rPr>
              <w:lastRenderedPageBreak/>
              <w:t>nowotworów zamieszczoną na platformie.</w:t>
            </w:r>
          </w:p>
        </w:tc>
        <w:tc>
          <w:tcPr>
            <w:tcW w:w="1309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lastRenderedPageBreak/>
              <w:t>Spełnienie kryterium jest konieczne do przyznania dofinansowania.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Projekty niespełniające kryterium są odrzucane.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Ocena spełniania kryterium polega na przypisaniu wartości logicznych „tak”, „nie”.</w:t>
            </w:r>
          </w:p>
        </w:tc>
      </w:tr>
      <w:tr w:rsidR="00606F8E" w:rsidRPr="00934BF4" w:rsidTr="003869E9">
        <w:tc>
          <w:tcPr>
            <w:tcW w:w="149" w:type="pct"/>
          </w:tcPr>
          <w:p w:rsidR="00606F8E" w:rsidRPr="00934BF4" w:rsidRDefault="00831E1A" w:rsidP="003869E9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lastRenderedPageBreak/>
              <w:t>1.12</w:t>
            </w:r>
          </w:p>
        </w:tc>
        <w:tc>
          <w:tcPr>
            <w:tcW w:w="552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Gotowość projektu do funkcjonowania bezpośrednio po zakończeniu inwestycji</w:t>
            </w:r>
          </w:p>
        </w:tc>
        <w:tc>
          <w:tcPr>
            <w:tcW w:w="2990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Możliwe jest korzystanie z produktów wytworzonych </w:t>
            </w:r>
            <w:r w:rsidRPr="00934BF4">
              <w:rPr>
                <w:rFonts w:ascii="Myriad Pro" w:hAnsi="Myriad Pro"/>
                <w:sz w:val="18"/>
                <w:szCs w:val="18"/>
              </w:rPr>
              <w:br/>
              <w:t xml:space="preserve">w wyniku realizacji projektu bezpośrednio po jego zakończeniu. Opis projektu wyraźnie wskazuje na to, że bezpośrednio po zakończeniu realizacji projektu możliwe jest wykorzystanie pełnej funkcjonalności infrastruktury </w:t>
            </w:r>
            <w:r w:rsidRPr="00934BF4">
              <w:rPr>
                <w:rFonts w:ascii="Myriad Pro" w:hAnsi="Myriad Pro"/>
                <w:sz w:val="18"/>
                <w:szCs w:val="18"/>
              </w:rPr>
              <w:br/>
              <w:t>i nie wymaga dodatkowych działań (innych projektów itp.) w celu jej pełnego wykorzystania.</w:t>
            </w:r>
          </w:p>
        </w:tc>
        <w:tc>
          <w:tcPr>
            <w:tcW w:w="1309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Spełnienie kryterium jest konieczne do przyznania dofinansowania.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Projekty niespełniające kryterium są odrzucane.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Ocena spełniania kryterium polega na przypisaniu wartości logicznych „tak”, „nie”.</w:t>
            </w:r>
          </w:p>
        </w:tc>
      </w:tr>
      <w:tr w:rsidR="00606F8E" w:rsidRPr="00934BF4" w:rsidTr="003869E9">
        <w:tc>
          <w:tcPr>
            <w:tcW w:w="149" w:type="pct"/>
          </w:tcPr>
          <w:p w:rsidR="00606F8E" w:rsidRPr="00934BF4" w:rsidRDefault="00831E1A" w:rsidP="003869E9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1.13</w:t>
            </w:r>
          </w:p>
        </w:tc>
        <w:tc>
          <w:tcPr>
            <w:tcW w:w="552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Wpływ na rozwój społeczno-gospodarczy</w:t>
            </w:r>
          </w:p>
        </w:tc>
        <w:tc>
          <w:tcPr>
            <w:tcW w:w="2990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Projekt przyczyni się do rozwoju województwa zachodniopomorskiego</w:t>
            </w:r>
            <w:r w:rsidRPr="00934BF4">
              <w:rPr>
                <w:rFonts w:ascii="Myriad Pro" w:hAnsi="Myriad Pro"/>
                <w:sz w:val="18"/>
                <w:szCs w:val="18"/>
                <w:u w:val="single"/>
              </w:rPr>
              <w:t>.</w:t>
            </w:r>
            <w:r w:rsidRPr="00934BF4">
              <w:rPr>
                <w:rFonts w:ascii="Myriad Pro" w:hAnsi="Myriad Pro"/>
                <w:sz w:val="18"/>
                <w:szCs w:val="18"/>
              </w:rPr>
              <w:t xml:space="preserve"> Projekt ma wpływ na sytuację społeczno-gospodarczą województwa zachodniopomorskiego. Projekt przyniesie korzyści mieszkańcom województwa zachodniopomorskiego. ENPV &gt;0.</w:t>
            </w:r>
          </w:p>
        </w:tc>
        <w:tc>
          <w:tcPr>
            <w:tcW w:w="1309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Spełnienie kryterium jest konieczne do przyznania dofinansowania.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Projekty niespełniające kryterium są odrzucane.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Ocena spełniania kryterium polega na przypisaniu wartości logicznych „tak”, „nie”.</w:t>
            </w:r>
          </w:p>
        </w:tc>
      </w:tr>
      <w:tr w:rsidR="00606F8E" w:rsidRPr="00934BF4" w:rsidTr="003869E9">
        <w:tc>
          <w:tcPr>
            <w:tcW w:w="149" w:type="pct"/>
          </w:tcPr>
          <w:p w:rsidR="00606F8E" w:rsidRPr="00934BF4" w:rsidRDefault="00831E1A" w:rsidP="003869E9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1.14</w:t>
            </w:r>
          </w:p>
        </w:tc>
        <w:tc>
          <w:tcPr>
            <w:tcW w:w="552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Wiarygodność popytu</w:t>
            </w:r>
          </w:p>
        </w:tc>
        <w:tc>
          <w:tcPr>
            <w:tcW w:w="2990" w:type="pct"/>
            <w:shd w:val="clear" w:color="auto" w:fill="auto"/>
            <w:vAlign w:val="bottom"/>
          </w:tcPr>
          <w:p w:rsidR="00606F8E" w:rsidRPr="00934BF4" w:rsidRDefault="00606F8E" w:rsidP="003869E9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Wiarygodność analizy popytu dokonanej na podstawie realistycznych szacunków oraz w zgodzie z głównymi tendencjami demograficznymi i rozwojem sytuacji w danym sektorze, która uzasadnia zapotrzebowanie na projekt oraz ogólny potencjał infrastruktury projektu.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Cele projektu wynikają z analizy potrzeb.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Projekt zakłada działania wykonalne w kontekście analizy  potrzeb.</w:t>
            </w:r>
          </w:p>
        </w:tc>
        <w:tc>
          <w:tcPr>
            <w:tcW w:w="1309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Spełnienie kryterium jest konieczne do przyznania dofinansowania.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Projekty niespełniające kryterium są odrzucane.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Ocena spełniania kryterium polega na przypisaniu wartości logicznych „tak”, „nie”.</w:t>
            </w:r>
          </w:p>
        </w:tc>
      </w:tr>
      <w:tr w:rsidR="00606F8E" w:rsidRPr="00934BF4" w:rsidTr="003869E9">
        <w:tc>
          <w:tcPr>
            <w:tcW w:w="149" w:type="pct"/>
          </w:tcPr>
          <w:p w:rsidR="00606F8E" w:rsidRPr="00934BF4" w:rsidRDefault="00831E1A" w:rsidP="003869E9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1.15</w:t>
            </w:r>
          </w:p>
        </w:tc>
        <w:tc>
          <w:tcPr>
            <w:tcW w:w="552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Poprawność analizy wariantowości</w:t>
            </w:r>
          </w:p>
        </w:tc>
        <w:tc>
          <w:tcPr>
            <w:tcW w:w="2990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Adekwatność jakości analizy wariantów. Przeanalizowano najważniejsze warianty i wybrano wariant najlepszy dla realizacji projektu, zawierającej uzasadnienie wybranego wariantu.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Warianty zostały przygotowane pod kątem zróżnicowanego wpływu na środowisko oraz wykorzystania najnowszych standardów technologicznych.</w:t>
            </w:r>
          </w:p>
        </w:tc>
        <w:tc>
          <w:tcPr>
            <w:tcW w:w="1309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Spełnienie kryterium jest konieczne do przyznania dofinansowania.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Projekty niespełniające kryterium są odrzucane.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Ocena spełniania kryterium polega na przypisaniu wartości logicznych „tak”, „nie”.</w:t>
            </w:r>
          </w:p>
        </w:tc>
      </w:tr>
      <w:tr w:rsidR="00606F8E" w:rsidRPr="00934BF4" w:rsidTr="003869E9">
        <w:tc>
          <w:tcPr>
            <w:tcW w:w="149" w:type="pct"/>
          </w:tcPr>
          <w:p w:rsidR="00606F8E" w:rsidRPr="00934BF4" w:rsidRDefault="00831E1A" w:rsidP="003869E9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1.16</w:t>
            </w:r>
          </w:p>
        </w:tc>
        <w:tc>
          <w:tcPr>
            <w:tcW w:w="552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Zgodność z obszarem (terytorialnie) objętym wsparciem w ramach Programu</w:t>
            </w:r>
          </w:p>
        </w:tc>
        <w:tc>
          <w:tcPr>
            <w:tcW w:w="2990" w:type="pct"/>
            <w:shd w:val="clear" w:color="auto" w:fill="auto"/>
          </w:tcPr>
          <w:p w:rsidR="00606F8E" w:rsidRPr="00934BF4" w:rsidRDefault="00606F8E" w:rsidP="003869E9">
            <w:pPr>
              <w:autoSpaceDE w:val="0"/>
              <w:autoSpaceDN w:val="0"/>
              <w:adjustRightInd w:val="0"/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Projekt jest realizowany na obszarze województwa zachodniopomorskiego.</w:t>
            </w:r>
          </w:p>
        </w:tc>
        <w:tc>
          <w:tcPr>
            <w:tcW w:w="1309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606F8E" w:rsidRPr="00934BF4" w:rsidRDefault="00606F8E" w:rsidP="003869E9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</w:tc>
      </w:tr>
      <w:tr w:rsidR="00606F8E" w:rsidRPr="00934BF4" w:rsidTr="003869E9">
        <w:tc>
          <w:tcPr>
            <w:tcW w:w="149" w:type="pct"/>
          </w:tcPr>
          <w:p w:rsidR="00606F8E" w:rsidRPr="00934BF4" w:rsidRDefault="00831E1A" w:rsidP="003869E9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1.17</w:t>
            </w:r>
          </w:p>
        </w:tc>
        <w:tc>
          <w:tcPr>
            <w:tcW w:w="552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Zgodność z wymogami pomocy publicznej</w:t>
            </w:r>
          </w:p>
        </w:tc>
        <w:tc>
          <w:tcPr>
            <w:tcW w:w="2990" w:type="pct"/>
            <w:shd w:val="clear" w:color="auto" w:fill="auto"/>
          </w:tcPr>
          <w:p w:rsidR="00606F8E" w:rsidRPr="00934BF4" w:rsidRDefault="00606F8E" w:rsidP="003869E9">
            <w:pPr>
              <w:autoSpaceDE w:val="0"/>
              <w:autoSpaceDN w:val="0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Wsparcie nie nosi znamion pomocy publiczne</w:t>
            </w:r>
            <w:r w:rsidRPr="00934BF4">
              <w:rPr>
                <w:rFonts w:ascii="Myriad Pro" w:hAnsi="Myriad Pro"/>
                <w:strike/>
                <w:sz w:val="18"/>
                <w:szCs w:val="18"/>
              </w:rPr>
              <w:t>j</w:t>
            </w:r>
            <w:r w:rsidRPr="00934BF4">
              <w:rPr>
                <w:rFonts w:ascii="Myriad Pro" w:hAnsi="Myriad Pro"/>
                <w:sz w:val="18"/>
                <w:szCs w:val="18"/>
              </w:rPr>
              <w:t xml:space="preserve"> (w oparciu o przesłanki występowania pomocy publicznej zawarte w art. 107 </w:t>
            </w:r>
            <w:proofErr w:type="spellStart"/>
            <w:r w:rsidRPr="00934BF4">
              <w:rPr>
                <w:rFonts w:ascii="Myriad Pro" w:hAnsi="Myriad Pro"/>
                <w:sz w:val="18"/>
                <w:szCs w:val="18"/>
              </w:rPr>
              <w:t>ToFUE</w:t>
            </w:r>
            <w:proofErr w:type="spellEnd"/>
            <w:r w:rsidRPr="00934BF4">
              <w:rPr>
                <w:rFonts w:ascii="Myriad Pro" w:hAnsi="Myriad Pro"/>
                <w:sz w:val="18"/>
                <w:szCs w:val="18"/>
              </w:rPr>
              <w:t>).</w:t>
            </w:r>
          </w:p>
        </w:tc>
        <w:tc>
          <w:tcPr>
            <w:tcW w:w="1309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606F8E" w:rsidRPr="00934BF4" w:rsidRDefault="00606F8E" w:rsidP="003869E9">
            <w:pPr>
              <w:rPr>
                <w:rFonts w:ascii="Myriad Pro" w:hAnsi="Myriad Pro" w:cs="Arial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</w:tc>
      </w:tr>
    </w:tbl>
    <w:p w:rsidR="00606F8E" w:rsidRPr="00934BF4" w:rsidRDefault="00606F8E" w:rsidP="00606F8E">
      <w:pPr>
        <w:spacing w:line="240" w:lineRule="auto"/>
        <w:rPr>
          <w:rFonts w:ascii="Myriad Pro" w:hAnsi="Myriad Pro"/>
          <w:sz w:val="18"/>
          <w:szCs w:val="18"/>
        </w:rPr>
        <w:sectPr w:rsidR="00606F8E" w:rsidRPr="00934BF4" w:rsidSect="008043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5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10"/>
        <w:tblW w:w="5327" w:type="pct"/>
        <w:tblInd w:w="-925" w:type="dxa"/>
        <w:tblCellMar>
          <w:top w:w="68" w:type="dxa"/>
          <w:left w:w="68" w:type="dxa"/>
          <w:bottom w:w="68" w:type="dxa"/>
          <w:right w:w="68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8931"/>
        <w:gridCol w:w="4007"/>
      </w:tblGrid>
      <w:tr w:rsidR="00606F8E" w:rsidRPr="00934BF4" w:rsidTr="003869E9">
        <w:tc>
          <w:tcPr>
            <w:tcW w:w="5000" w:type="pct"/>
            <w:gridSpan w:val="4"/>
            <w:shd w:val="clear" w:color="auto" w:fill="D9D9D9" w:themeFill="background1" w:themeFillShade="D9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b/>
                <w:sz w:val="18"/>
                <w:szCs w:val="18"/>
              </w:rPr>
              <w:lastRenderedPageBreak/>
              <w:t>Kryteria administracyjności</w:t>
            </w:r>
          </w:p>
        </w:tc>
      </w:tr>
      <w:tr w:rsidR="00606F8E" w:rsidRPr="00934BF4" w:rsidTr="003869E9">
        <w:tc>
          <w:tcPr>
            <w:tcW w:w="141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L.p.</w:t>
            </w:r>
          </w:p>
        </w:tc>
        <w:tc>
          <w:tcPr>
            <w:tcW w:w="565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Nazwa kryterium</w:t>
            </w:r>
          </w:p>
        </w:tc>
        <w:tc>
          <w:tcPr>
            <w:tcW w:w="2964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Definicja kryterium</w:t>
            </w:r>
          </w:p>
        </w:tc>
        <w:tc>
          <w:tcPr>
            <w:tcW w:w="1330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Opis znaczenia kryterium</w:t>
            </w:r>
          </w:p>
        </w:tc>
      </w:tr>
      <w:tr w:rsidR="00606F8E" w:rsidRPr="00934BF4" w:rsidTr="003869E9">
        <w:tc>
          <w:tcPr>
            <w:tcW w:w="141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1</w:t>
            </w:r>
          </w:p>
        </w:tc>
        <w:tc>
          <w:tcPr>
            <w:tcW w:w="565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2</w:t>
            </w:r>
          </w:p>
        </w:tc>
        <w:tc>
          <w:tcPr>
            <w:tcW w:w="2964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3</w:t>
            </w:r>
          </w:p>
        </w:tc>
        <w:tc>
          <w:tcPr>
            <w:tcW w:w="1330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4</w:t>
            </w:r>
          </w:p>
        </w:tc>
      </w:tr>
      <w:tr w:rsidR="00606F8E" w:rsidRPr="00934BF4" w:rsidTr="003869E9">
        <w:tc>
          <w:tcPr>
            <w:tcW w:w="141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2.</w:t>
            </w:r>
            <w:r w:rsidR="00E27981">
              <w:rPr>
                <w:rFonts w:ascii="Myriad Pro" w:hAnsi="Myriad Pro"/>
                <w:sz w:val="18"/>
                <w:szCs w:val="18"/>
              </w:rPr>
              <w:t>1</w:t>
            </w:r>
          </w:p>
        </w:tc>
        <w:tc>
          <w:tcPr>
            <w:tcW w:w="565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Możliwość oceny merytorycznej wniosku</w:t>
            </w:r>
          </w:p>
        </w:tc>
        <w:tc>
          <w:tcPr>
            <w:tcW w:w="2964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Wszystkie pola we wniosku są wypełnione w taki sposób, że dają możliwość oceny merytorycznej wniosku.</w:t>
            </w:r>
          </w:p>
          <w:p w:rsidR="00606F8E" w:rsidRPr="00934BF4" w:rsidRDefault="00606F8E" w:rsidP="003869E9">
            <w:pPr>
              <w:spacing w:after="120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Wniosek zawiera szczegółowe opisy dotyczące produktów lub usług, które mają być dostarczone w ramach projektu, plan finansowy oraz termin realizacji.</w:t>
            </w:r>
          </w:p>
          <w:p w:rsidR="00606F8E" w:rsidRPr="00934BF4" w:rsidRDefault="00606F8E" w:rsidP="003869E9">
            <w:pPr>
              <w:spacing w:after="120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Opisy we wniosku oraz w załącznikach są ze sobą spójne, nie zawierają sprzecznych ze sobą kwestii.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Jakość przedstawionych dokumentów (dokumentacji projektowej) pozwala na dokonanie tej oceny. Należy zweryfikować przede wszystkim opisy (w tym analizy, wnioski, szacowanie i adekwatność wskaźników) w kontekście ich:</w:t>
            </w:r>
          </w:p>
          <w:p w:rsidR="00606F8E" w:rsidRDefault="00606F8E" w:rsidP="00606F8E">
            <w:pPr>
              <w:pStyle w:val="Akapitzlist"/>
              <w:numPr>
                <w:ilvl w:val="0"/>
                <w:numId w:val="1"/>
              </w:numPr>
              <w:ind w:left="358"/>
              <w:jc w:val="both"/>
              <w:rPr>
                <w:sz w:val="18"/>
                <w:szCs w:val="18"/>
              </w:rPr>
            </w:pPr>
            <w:r w:rsidRPr="00934BF4">
              <w:rPr>
                <w:sz w:val="18"/>
                <w:szCs w:val="18"/>
              </w:rPr>
              <w:t>Poprawności – w kontekście błędów popełnionych zarówno w opisach (rzutujących na ich rozumienie, znaczenie, czy wiarygodność), ich aktualności (kiedy są dostępne nowsze dane lub użyte źródła straciły ważność), jak i w analizach i wnioskowaniu (np. błędy rachunkowe zmieniające znacząco wynik analiz)</w:t>
            </w:r>
          </w:p>
          <w:p w:rsidR="00606F8E" w:rsidRDefault="00606F8E" w:rsidP="00606F8E">
            <w:pPr>
              <w:pStyle w:val="Akapitzlist"/>
              <w:numPr>
                <w:ilvl w:val="0"/>
                <w:numId w:val="1"/>
              </w:numPr>
              <w:ind w:left="358"/>
              <w:jc w:val="both"/>
              <w:rPr>
                <w:sz w:val="18"/>
                <w:szCs w:val="18"/>
              </w:rPr>
            </w:pPr>
            <w:r w:rsidRPr="008043E4">
              <w:rPr>
                <w:sz w:val="18"/>
                <w:szCs w:val="18"/>
              </w:rPr>
              <w:t>Rzetelności – dokładności, z jaką opisy odzwierciedlają każdy z aspektów poszczególnych elementów projektu. Dotyczy etapu tworzenia opisów. Opisy zawsze powinny brać pod uwagę te same czynniki. Oznacza to, że opisy powinny być spójne w czasie (po upływie pewnego czasu ponownie sporządzone opisy powinny przekazywać podobne treści) oraz spójne wewnętrznie (nie występowały sprzeczności w opisach spowodowane braniem pod uwagę innych czynników za każdym razem; wybrane do analizy lub opisów elementy populacji / otoczenia powinny być reprezentatywne na tyle, aby odzwierciedlały rzeczywistą sytuację, a w przypadku interpretacji – błąd związany z interpretacjami był minimalny).</w:t>
            </w:r>
          </w:p>
          <w:p w:rsidR="00606F8E" w:rsidRPr="008043E4" w:rsidRDefault="00606F8E" w:rsidP="00606F8E">
            <w:pPr>
              <w:pStyle w:val="Akapitzlist"/>
              <w:numPr>
                <w:ilvl w:val="0"/>
                <w:numId w:val="1"/>
              </w:numPr>
              <w:ind w:left="358"/>
              <w:jc w:val="both"/>
              <w:rPr>
                <w:sz w:val="18"/>
                <w:szCs w:val="18"/>
              </w:rPr>
            </w:pPr>
            <w:r w:rsidRPr="008043E4">
              <w:rPr>
                <w:sz w:val="18"/>
                <w:szCs w:val="18"/>
              </w:rPr>
              <w:t>Wiarygodności – w przeciwieństwie do rzetelności, wiarygodność dotyczy przyjmowanych założeń oraz źródeł danych, na podstawi, których dokonywane są analizy i tworzone opisy, a także formułowane wnioski.</w:t>
            </w:r>
          </w:p>
        </w:tc>
        <w:tc>
          <w:tcPr>
            <w:tcW w:w="1330" w:type="pct"/>
          </w:tcPr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 xml:space="preserve">Spełnienie kryterium jest konieczne do przyznania dofinansowania. 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 xml:space="preserve">Projekty niespełniające kryterium są odrzucane. 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Ocena spełniania kryterium polega na przypisaniu wartości logicznych „tak”, „nie”.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Możliwość uzupełnienia lub poprawienia wniosku o dofinansowanie w ramach kryterium</w:t>
            </w:r>
          </w:p>
        </w:tc>
      </w:tr>
      <w:tr w:rsidR="00606F8E" w:rsidRPr="00934BF4" w:rsidTr="003869E9">
        <w:tc>
          <w:tcPr>
            <w:tcW w:w="141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2.</w:t>
            </w:r>
            <w:r w:rsidR="00E27981">
              <w:rPr>
                <w:rFonts w:ascii="Myriad Pro" w:hAnsi="Myriad Pro"/>
                <w:sz w:val="18"/>
                <w:szCs w:val="18"/>
              </w:rPr>
              <w:t>2</w:t>
            </w:r>
          </w:p>
        </w:tc>
        <w:tc>
          <w:tcPr>
            <w:tcW w:w="565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Zgodność z kwalifikowalnością wydatków</w:t>
            </w:r>
          </w:p>
        </w:tc>
        <w:tc>
          <w:tcPr>
            <w:tcW w:w="2964" w:type="pct"/>
          </w:tcPr>
          <w:p w:rsidR="00606F8E" w:rsidRPr="008E1E3A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8E1E3A">
              <w:rPr>
                <w:rFonts w:ascii="Myriad Pro" w:hAnsi="Myriad Pro"/>
                <w:sz w:val="18"/>
                <w:szCs w:val="18"/>
              </w:rPr>
              <w:t>Wydatki w projekcie są zaplanowane:</w:t>
            </w:r>
          </w:p>
          <w:p w:rsidR="00606F8E" w:rsidRPr="008E1E3A" w:rsidRDefault="00606F8E" w:rsidP="00606F8E">
            <w:pPr>
              <w:pStyle w:val="Akapitzlist"/>
              <w:numPr>
                <w:ilvl w:val="0"/>
                <w:numId w:val="4"/>
              </w:numPr>
              <w:ind w:left="358"/>
              <w:jc w:val="both"/>
              <w:rPr>
                <w:sz w:val="18"/>
                <w:szCs w:val="18"/>
              </w:rPr>
            </w:pPr>
            <w:r w:rsidRPr="008E1E3A">
              <w:rPr>
                <w:sz w:val="18"/>
                <w:szCs w:val="18"/>
              </w:rPr>
              <w:t xml:space="preserve"> w sposób celowy i oszczędny, z zachowaniem zasad:</w:t>
            </w:r>
          </w:p>
          <w:p w:rsidR="00606F8E" w:rsidRPr="008E1E3A" w:rsidRDefault="00606F8E" w:rsidP="00606F8E">
            <w:pPr>
              <w:pStyle w:val="Akapitzlist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8E1E3A">
              <w:rPr>
                <w:sz w:val="18"/>
                <w:szCs w:val="18"/>
              </w:rPr>
              <w:t>uzyskiwania najlepszych efektów z danych nakładów,</w:t>
            </w:r>
          </w:p>
          <w:p w:rsidR="00606F8E" w:rsidRPr="008E1E3A" w:rsidRDefault="00606F8E" w:rsidP="00606F8E">
            <w:pPr>
              <w:pStyle w:val="Akapitzlist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8E1E3A">
              <w:rPr>
                <w:sz w:val="18"/>
                <w:szCs w:val="18"/>
              </w:rPr>
              <w:t>optymalnego doboru metod i środków służących osiągnięciu założonych celów,</w:t>
            </w:r>
          </w:p>
          <w:p w:rsidR="00606F8E" w:rsidRPr="008E1E3A" w:rsidRDefault="00606F8E" w:rsidP="00606F8E">
            <w:pPr>
              <w:pStyle w:val="Akapitzlist"/>
              <w:numPr>
                <w:ilvl w:val="0"/>
                <w:numId w:val="4"/>
              </w:numPr>
              <w:ind w:left="411"/>
              <w:jc w:val="both"/>
              <w:rPr>
                <w:sz w:val="18"/>
                <w:szCs w:val="18"/>
              </w:rPr>
            </w:pPr>
            <w:r w:rsidRPr="008E1E3A">
              <w:rPr>
                <w:sz w:val="18"/>
                <w:szCs w:val="18"/>
              </w:rPr>
              <w:t>w sposób umożliwiający terminową realizację zadań;</w:t>
            </w:r>
          </w:p>
          <w:p w:rsidR="00606F8E" w:rsidRPr="008E1E3A" w:rsidRDefault="00606F8E" w:rsidP="00606F8E">
            <w:pPr>
              <w:pStyle w:val="Akapitzlist"/>
              <w:numPr>
                <w:ilvl w:val="0"/>
                <w:numId w:val="4"/>
              </w:numPr>
              <w:ind w:left="411"/>
              <w:jc w:val="both"/>
              <w:rPr>
                <w:sz w:val="18"/>
                <w:szCs w:val="18"/>
              </w:rPr>
            </w:pPr>
            <w:r w:rsidRPr="008E1E3A">
              <w:rPr>
                <w:sz w:val="18"/>
                <w:szCs w:val="18"/>
              </w:rPr>
              <w:t>w wysokości i terminach wynikających z wcześniej zaciągniętych zobowiązań.</w:t>
            </w:r>
          </w:p>
          <w:p w:rsidR="00606F8E" w:rsidRPr="008E1E3A" w:rsidRDefault="00606F8E" w:rsidP="006B680F">
            <w:pPr>
              <w:rPr>
                <w:rFonts w:ascii="Myriad Pro" w:hAnsi="Myriad Pro"/>
                <w:sz w:val="18"/>
                <w:szCs w:val="18"/>
              </w:rPr>
            </w:pPr>
            <w:r w:rsidRPr="008E1E3A">
              <w:rPr>
                <w:rFonts w:ascii="Myriad Pro" w:eastAsia="MyriadPro-Regular" w:hAnsi="Myriad Pro" w:cs="MyriadPro-Regular"/>
                <w:sz w:val="18"/>
                <w:szCs w:val="18"/>
              </w:rPr>
              <w:t xml:space="preserve">Wydatki założone w projekcie są zgodne z katalogiem wydatków, limitami oraz zasadami kwalifikowalności określonymi w </w:t>
            </w:r>
            <w:r w:rsidR="006B680F" w:rsidRPr="008E1E3A">
              <w:rPr>
                <w:rFonts w:ascii="Myriad Pro" w:eastAsia="MyriadPro-Regular" w:hAnsi="Myriad Pro" w:cs="MyriadPro-Regular"/>
                <w:sz w:val="18"/>
                <w:szCs w:val="18"/>
              </w:rPr>
              <w:t>Wytycznych MR oraz SOOP</w:t>
            </w:r>
            <w:r w:rsidRPr="008E1E3A">
              <w:rPr>
                <w:rFonts w:ascii="Myriad Pro" w:eastAsia="MyriadPro-Regular" w:hAnsi="Myriad Pro" w:cs="MyriadPro-Regular"/>
                <w:sz w:val="18"/>
                <w:szCs w:val="18"/>
              </w:rPr>
              <w:t>.</w:t>
            </w:r>
          </w:p>
        </w:tc>
        <w:tc>
          <w:tcPr>
            <w:tcW w:w="1330" w:type="pct"/>
          </w:tcPr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 xml:space="preserve">Spełnienie kryterium jest konieczne do przyznania dofinansowania. 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 xml:space="preserve">Projekty niespełniające kryterium są odrzucane. 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Ocena spełniania kryterium polega na przypisaniu wartości logicznych „tak”, „nie”.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Możliwość uzupełnienia lub poprawienia wniosku o dofinansowanie w ramach kryterium</w:t>
            </w:r>
          </w:p>
        </w:tc>
      </w:tr>
      <w:tr w:rsidR="00606F8E" w:rsidRPr="00934BF4" w:rsidTr="003869E9">
        <w:tc>
          <w:tcPr>
            <w:tcW w:w="141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2.</w:t>
            </w:r>
            <w:r w:rsidR="00E27981">
              <w:rPr>
                <w:rFonts w:ascii="Myriad Pro" w:hAnsi="Myriad Pro"/>
                <w:sz w:val="18"/>
                <w:szCs w:val="18"/>
              </w:rPr>
              <w:t>3</w:t>
            </w:r>
          </w:p>
        </w:tc>
        <w:tc>
          <w:tcPr>
            <w:tcW w:w="565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Intensywność wsparcia</w:t>
            </w:r>
          </w:p>
        </w:tc>
        <w:tc>
          <w:tcPr>
            <w:tcW w:w="2964" w:type="pct"/>
          </w:tcPr>
          <w:p w:rsidR="00606F8E" w:rsidRPr="008E1E3A" w:rsidRDefault="00606F8E" w:rsidP="006B680F">
            <w:pPr>
              <w:rPr>
                <w:rFonts w:ascii="Myriad Pro" w:hAnsi="Myriad Pro"/>
                <w:sz w:val="18"/>
                <w:szCs w:val="18"/>
              </w:rPr>
            </w:pPr>
            <w:r w:rsidRPr="008E1E3A">
              <w:rPr>
                <w:rFonts w:ascii="Myriad Pro" w:hAnsi="Myriad Pro"/>
                <w:sz w:val="18"/>
                <w:szCs w:val="18"/>
              </w:rPr>
              <w:t xml:space="preserve">Wnioskowana kwota i poziom wsparcia są zgodne z zapisami </w:t>
            </w:r>
            <w:r w:rsidR="006B680F" w:rsidRPr="008E1E3A">
              <w:rPr>
                <w:rFonts w:ascii="Myriad Pro" w:hAnsi="Myriad Pro"/>
                <w:sz w:val="18"/>
                <w:szCs w:val="18"/>
              </w:rPr>
              <w:t>SOOP</w:t>
            </w:r>
            <w:r w:rsidRPr="008E1E3A">
              <w:rPr>
                <w:rFonts w:ascii="Myriad Pro" w:hAnsi="Myriad Pro"/>
                <w:sz w:val="18"/>
                <w:szCs w:val="18"/>
              </w:rPr>
              <w:t>.</w:t>
            </w:r>
          </w:p>
        </w:tc>
        <w:tc>
          <w:tcPr>
            <w:tcW w:w="1330" w:type="pct"/>
          </w:tcPr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 xml:space="preserve">Spełnienie kryterium jest konieczne do przyznania dofinansowania. 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 xml:space="preserve">Projekty niespełniające kryterium są odrzucane. 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Ocena spełniania kryterium polega na przypisaniu wartości logicznych „tak”, „nie”.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Możliwość uzupełnienia lub poprawienia wniosku o dofinansowanie w ramach kryterium</w:t>
            </w:r>
          </w:p>
        </w:tc>
      </w:tr>
      <w:tr w:rsidR="00606F8E" w:rsidRPr="00934BF4" w:rsidTr="003869E9">
        <w:tc>
          <w:tcPr>
            <w:tcW w:w="141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2.</w:t>
            </w:r>
            <w:r w:rsidR="00E27981">
              <w:rPr>
                <w:rFonts w:ascii="Myriad Pro" w:hAnsi="Myriad Pro"/>
                <w:sz w:val="18"/>
                <w:szCs w:val="18"/>
              </w:rPr>
              <w:t>4</w:t>
            </w:r>
          </w:p>
        </w:tc>
        <w:tc>
          <w:tcPr>
            <w:tcW w:w="565" w:type="pct"/>
          </w:tcPr>
          <w:p w:rsidR="00606F8E" w:rsidRPr="008043E4" w:rsidRDefault="00606F8E" w:rsidP="003869E9">
            <w:pPr>
              <w:rPr>
                <w:rFonts w:ascii="Myriad Pro" w:hAnsi="Myriad Pro"/>
                <w:sz w:val="17"/>
                <w:szCs w:val="17"/>
              </w:rPr>
            </w:pPr>
            <w:r w:rsidRPr="008043E4">
              <w:rPr>
                <w:rFonts w:ascii="Myriad Pro" w:hAnsi="Myriad Pro"/>
                <w:sz w:val="17"/>
                <w:szCs w:val="17"/>
              </w:rPr>
              <w:t xml:space="preserve">Poprawność obliczeń całkowitych kosztów i </w:t>
            </w:r>
            <w:r w:rsidRPr="008043E4">
              <w:rPr>
                <w:rFonts w:ascii="Myriad Pro" w:hAnsi="Myriad Pro"/>
                <w:sz w:val="17"/>
                <w:szCs w:val="17"/>
              </w:rPr>
              <w:lastRenderedPageBreak/>
              <w:t>całkowitych kosztów kwalifikowalnych oraz intensywności pomocy uwzględniającej generowanie dochodu w projekcie</w:t>
            </w:r>
          </w:p>
        </w:tc>
        <w:tc>
          <w:tcPr>
            <w:tcW w:w="2964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lastRenderedPageBreak/>
              <w:t xml:space="preserve">Poprawność całkowitych kosztów i całkowitych kosztów kwalifikowalnych z uwzględnieniem wymogów określonych w art. 61 rozporządzenia (UE) nr 1303/2013, a także wystarczająca szczegółowość i racjonalne przesłanki obliczania </w:t>
            </w:r>
            <w:r w:rsidRPr="00934BF4">
              <w:rPr>
                <w:rFonts w:ascii="Myriad Pro" w:hAnsi="Myriad Pro"/>
                <w:sz w:val="18"/>
                <w:szCs w:val="18"/>
              </w:rPr>
              <w:lastRenderedPageBreak/>
              <w:t>kosztów, zarówno pod względem całkowitych kosztów niezbędnych do osiągnięcia wyznaczonych celów, jak i pod względem kosztów jednostkowych w stosownych przypadkach.</w:t>
            </w:r>
          </w:p>
        </w:tc>
        <w:tc>
          <w:tcPr>
            <w:tcW w:w="1330" w:type="pct"/>
          </w:tcPr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lastRenderedPageBreak/>
              <w:t xml:space="preserve">Spełnienie kryterium jest konieczne do przyznania dofinansowania. 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lastRenderedPageBreak/>
              <w:t xml:space="preserve">Projekty niespełniające kryterium są odrzucane. 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Ocena spełniania kryterium polega na przypisaniu wartości logicznych „tak”, „nie”.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Możliwość uzupełnienia lub poprawienia wniosku o dofinansowanie w ramach kryterium</w:t>
            </w:r>
          </w:p>
        </w:tc>
      </w:tr>
      <w:tr w:rsidR="00606F8E" w:rsidRPr="00934BF4" w:rsidTr="003869E9">
        <w:tc>
          <w:tcPr>
            <w:tcW w:w="141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lastRenderedPageBreak/>
              <w:t>2.</w:t>
            </w:r>
            <w:r w:rsidR="00E27981">
              <w:rPr>
                <w:rFonts w:ascii="Myriad Pro" w:hAnsi="Myriad Pro"/>
                <w:sz w:val="18"/>
                <w:szCs w:val="18"/>
              </w:rPr>
              <w:t>5</w:t>
            </w:r>
          </w:p>
        </w:tc>
        <w:tc>
          <w:tcPr>
            <w:tcW w:w="565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Poprawność okresu realizacji</w:t>
            </w:r>
          </w:p>
        </w:tc>
        <w:tc>
          <w:tcPr>
            <w:tcW w:w="2964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Projekt zostanie zrealizowany w terminie zaplanowanym dla projektu. Harmonogram projektu został zaplanowany realnie i racjonalnie.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Wszystkie etapy projektu wynikają z procesu inwestycyjnego i są logicznie powiązane.</w:t>
            </w:r>
          </w:p>
          <w:p w:rsidR="00606F8E" w:rsidRPr="00934BF4" w:rsidRDefault="00606F8E" w:rsidP="00CD19B1">
            <w:pPr>
              <w:pStyle w:val="Tekstkomentarza"/>
              <w:rPr>
                <w:rFonts w:cs="Arial"/>
                <w:i/>
                <w:sz w:val="18"/>
                <w:szCs w:val="18"/>
              </w:rPr>
            </w:pPr>
            <w:r w:rsidRPr="00934BF4">
              <w:rPr>
                <w:rFonts w:cs="Arial"/>
                <w:i/>
                <w:sz w:val="18"/>
                <w:szCs w:val="18"/>
              </w:rPr>
              <w:t>Okres kwalifikowalności wydatków  nie wykracza poza datę końcową i początkową  okresu kwalifikowalności określoną w art. 65 ust. 2 roz</w:t>
            </w:r>
            <w:r w:rsidR="00CD19B1">
              <w:rPr>
                <w:rFonts w:cs="Arial"/>
                <w:i/>
                <w:sz w:val="18"/>
                <w:szCs w:val="18"/>
              </w:rPr>
              <w:t xml:space="preserve">porządzenia (UE) nr 1303/2013. </w:t>
            </w:r>
          </w:p>
        </w:tc>
        <w:tc>
          <w:tcPr>
            <w:tcW w:w="1330" w:type="pct"/>
          </w:tcPr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 xml:space="preserve">Spełnienie kryterium jest konieczne do przyznania dofinansowania. 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 xml:space="preserve">Projekty niespełniające kryterium są odrzucane. 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Ocena spełniania kryterium polega na przypisaniu wartości logicznych „tak”, „nie”.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Możliwość uzupełnienia lub poprawienia wniosku o dofinansowanie w ramach kryterium</w:t>
            </w:r>
          </w:p>
        </w:tc>
      </w:tr>
      <w:tr w:rsidR="00606F8E" w:rsidRPr="00934BF4" w:rsidTr="003869E9">
        <w:tc>
          <w:tcPr>
            <w:tcW w:w="141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2.</w:t>
            </w:r>
            <w:r w:rsidR="00E27981">
              <w:rPr>
                <w:rFonts w:ascii="Myriad Pro" w:hAnsi="Myriad Pro"/>
                <w:sz w:val="18"/>
                <w:szCs w:val="18"/>
              </w:rPr>
              <w:t>6</w:t>
            </w:r>
          </w:p>
        </w:tc>
        <w:tc>
          <w:tcPr>
            <w:tcW w:w="565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Zasadność poziomu wsparcia w projekcie</w:t>
            </w:r>
          </w:p>
        </w:tc>
        <w:tc>
          <w:tcPr>
            <w:tcW w:w="2964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Projekt jest realny z gospodarczego i finansowego punktu widzenia oraz przynosi pozytywne skutki społeczno-gospodarcze, co uzasadnia proponowany poziom wsparcia w ramach EFRR.</w:t>
            </w:r>
          </w:p>
        </w:tc>
        <w:tc>
          <w:tcPr>
            <w:tcW w:w="1330" w:type="pct"/>
          </w:tcPr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 xml:space="preserve">Spełnienie kryterium jest konieczne do przyznania dofinansowania. 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 xml:space="preserve">Projekty niespełniające kryterium są odrzucane. 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Ocena spełniania kryterium polega na przypisaniu wartości logicznych „tak”, „nie”.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Możliwość uzupełnienia lub poprawienia wniosku o dofinansowanie w ramach kryterium</w:t>
            </w:r>
          </w:p>
        </w:tc>
      </w:tr>
    </w:tbl>
    <w:p w:rsidR="00606F8E" w:rsidRPr="00934BF4" w:rsidRDefault="00606F8E" w:rsidP="00606F8E">
      <w:pPr>
        <w:spacing w:line="240" w:lineRule="auto"/>
        <w:rPr>
          <w:rFonts w:ascii="Myriad Pro" w:hAnsi="Myriad Pro"/>
          <w:sz w:val="18"/>
          <w:szCs w:val="18"/>
        </w:rPr>
        <w:sectPr w:rsidR="00606F8E" w:rsidRPr="00934BF4" w:rsidSect="008043E4"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10"/>
        <w:tblW w:w="5327" w:type="pct"/>
        <w:tblInd w:w="-925" w:type="dxa"/>
        <w:tblLayout w:type="fixed"/>
        <w:tblCellMar>
          <w:top w:w="68" w:type="dxa"/>
          <w:left w:w="68" w:type="dxa"/>
          <w:bottom w:w="68" w:type="dxa"/>
          <w:right w:w="68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8931"/>
        <w:gridCol w:w="4007"/>
      </w:tblGrid>
      <w:tr w:rsidR="00606F8E" w:rsidRPr="00934BF4" w:rsidTr="003869E9">
        <w:tc>
          <w:tcPr>
            <w:tcW w:w="5000" w:type="pct"/>
            <w:gridSpan w:val="4"/>
            <w:shd w:val="clear" w:color="auto" w:fill="D9D9D9" w:themeFill="background1" w:themeFillShade="D9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b/>
                <w:sz w:val="18"/>
                <w:szCs w:val="18"/>
              </w:rPr>
              <w:lastRenderedPageBreak/>
              <w:t>Kryteria wykonalności</w:t>
            </w:r>
          </w:p>
        </w:tc>
      </w:tr>
      <w:tr w:rsidR="00606F8E" w:rsidRPr="00934BF4" w:rsidTr="003869E9">
        <w:tc>
          <w:tcPr>
            <w:tcW w:w="141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L.p.</w:t>
            </w:r>
          </w:p>
        </w:tc>
        <w:tc>
          <w:tcPr>
            <w:tcW w:w="565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Nazwa kryterium</w:t>
            </w:r>
          </w:p>
        </w:tc>
        <w:tc>
          <w:tcPr>
            <w:tcW w:w="2964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Definicja kryterium</w:t>
            </w:r>
          </w:p>
        </w:tc>
        <w:tc>
          <w:tcPr>
            <w:tcW w:w="1330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Opis znaczenia kryterium</w:t>
            </w:r>
          </w:p>
        </w:tc>
      </w:tr>
      <w:tr w:rsidR="00606F8E" w:rsidRPr="00934BF4" w:rsidTr="003869E9">
        <w:tc>
          <w:tcPr>
            <w:tcW w:w="141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1</w:t>
            </w:r>
          </w:p>
        </w:tc>
        <w:tc>
          <w:tcPr>
            <w:tcW w:w="565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2</w:t>
            </w:r>
          </w:p>
        </w:tc>
        <w:tc>
          <w:tcPr>
            <w:tcW w:w="2964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3</w:t>
            </w:r>
          </w:p>
        </w:tc>
        <w:tc>
          <w:tcPr>
            <w:tcW w:w="1330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4</w:t>
            </w:r>
          </w:p>
        </w:tc>
      </w:tr>
      <w:tr w:rsidR="00606F8E" w:rsidRPr="00934BF4" w:rsidTr="003869E9">
        <w:tc>
          <w:tcPr>
            <w:tcW w:w="141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3.1</w:t>
            </w:r>
          </w:p>
        </w:tc>
        <w:tc>
          <w:tcPr>
            <w:tcW w:w="565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Zdolność prawna</w:t>
            </w:r>
          </w:p>
        </w:tc>
        <w:tc>
          <w:tcPr>
            <w:tcW w:w="2964" w:type="pct"/>
            <w:shd w:val="clear" w:color="auto" w:fill="auto"/>
            <w:vAlign w:val="bottom"/>
          </w:tcPr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Ocenie podlega stan przygotowania projektu do realizacji w istniejącym otoczeniu prawnym. Wnioskodawca posiada pozwolenia i decyzje niezbędne do realizacji zamierzonego projektu – uwarunkowania płynące m.in. z:</w:t>
            </w:r>
          </w:p>
          <w:p w:rsidR="00606F8E" w:rsidRDefault="00606F8E" w:rsidP="00606F8E">
            <w:pPr>
              <w:numPr>
                <w:ilvl w:val="0"/>
                <w:numId w:val="6"/>
              </w:numPr>
              <w:contextualSpacing/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odpowiednich procedur zamówień publicznych,</w:t>
            </w:r>
          </w:p>
          <w:p w:rsidR="00606F8E" w:rsidRDefault="00606F8E" w:rsidP="00606F8E">
            <w:pPr>
              <w:numPr>
                <w:ilvl w:val="0"/>
                <w:numId w:val="6"/>
              </w:numPr>
              <w:contextualSpacing/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kwestii związanych z uwarunkowaniami wynikającymi z procedur prawa budowlanego,</w:t>
            </w:r>
          </w:p>
          <w:p w:rsidR="00606F8E" w:rsidRDefault="00606F8E" w:rsidP="00606F8E">
            <w:pPr>
              <w:numPr>
                <w:ilvl w:val="0"/>
                <w:numId w:val="6"/>
              </w:numPr>
              <w:contextualSpacing/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 xml:space="preserve">zasad polityki przestrzennej (wynikających </w:t>
            </w: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br/>
              <w:t>z Umowy Partnerstwa),</w:t>
            </w:r>
          </w:p>
          <w:p w:rsidR="00606F8E" w:rsidRDefault="00606F8E" w:rsidP="00606F8E">
            <w:pPr>
              <w:numPr>
                <w:ilvl w:val="0"/>
                <w:numId w:val="6"/>
              </w:numPr>
              <w:contextualSpacing/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oceny odporności infrastruktury na ryzyka powodowane zmianami klimatu.</w:t>
            </w:r>
          </w:p>
        </w:tc>
        <w:tc>
          <w:tcPr>
            <w:tcW w:w="1330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 xml:space="preserve">Spełnienie kryterium jest konieczne do przyznania dofinansowania. 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 xml:space="preserve">Projekty niespełniające kryterium są odrzucane. 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Ocena spełniania kryterium polega na przypisaniu wartości logicznych „tak”, „nie”.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Możliwość uzupełnienia lub poprawienia wniosku o dofinansowanie w ramach kryterium</w:t>
            </w:r>
          </w:p>
        </w:tc>
      </w:tr>
      <w:tr w:rsidR="00606F8E" w:rsidRPr="00934BF4" w:rsidTr="003869E9">
        <w:tc>
          <w:tcPr>
            <w:tcW w:w="141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3.2</w:t>
            </w:r>
          </w:p>
        </w:tc>
        <w:tc>
          <w:tcPr>
            <w:tcW w:w="565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Zdolność finansowa</w:t>
            </w:r>
          </w:p>
        </w:tc>
        <w:tc>
          <w:tcPr>
            <w:tcW w:w="2964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Wnioskodawca posiada niezbędne środki finansowe do realizacji projektu, co wynika z przedstawionego planu finansowego. Sytuacja ekonomiczna wnioskodawcy daje gwarancję realizacji przedsięwzięcia w terminie określonym we wniosku o dofinansowanie. Wnioskodawca zapewnia środki finansowe do utrzymywania projektu w okresie trwałości.</w:t>
            </w:r>
          </w:p>
        </w:tc>
        <w:tc>
          <w:tcPr>
            <w:tcW w:w="1330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Spełnienie kryterium jest konieczne do przyznania dofinansowania.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 xml:space="preserve">Projekty niespełniające kryterium są odrzucane. 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Ocena spełniania kryterium polega na przypisaniu wartości logicznych „tak”, „nie”.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Możliwość uzupełnienia lub poprawienia wniosku o dofinansowanie w ramach kryterium</w:t>
            </w:r>
          </w:p>
        </w:tc>
      </w:tr>
      <w:tr w:rsidR="00606F8E" w:rsidRPr="00934BF4" w:rsidTr="003869E9">
        <w:tc>
          <w:tcPr>
            <w:tcW w:w="141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3.3</w:t>
            </w:r>
          </w:p>
        </w:tc>
        <w:tc>
          <w:tcPr>
            <w:tcW w:w="565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Zdolność ekonomiczna</w:t>
            </w:r>
          </w:p>
        </w:tc>
        <w:tc>
          <w:tcPr>
            <w:tcW w:w="2964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Przeprowadzona analiza kosztów i korzyści w studium wykonalności jest prawidłowa, a jej wyniki wskazują na to, że projekt posiada minimalny wymagany poziom efektywności społeczno-gospodarczej. Analizy biorą pod uwagę uwarunkowania płynące z otoczenia prawnego projektu. Tam gdzie to zasadne weryfikacja spełnienia kryterium powinna korzystać ze wskaźnika B/C, którego minimalna wartość to 1.</w:t>
            </w:r>
          </w:p>
        </w:tc>
        <w:tc>
          <w:tcPr>
            <w:tcW w:w="1330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Spełnienie kryterium jest konieczne do przyznania dofinansowania.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Projekty niespełniające kryterium są odrzucane.</w:t>
            </w:r>
          </w:p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Ocena spełniania kryterium polega na przypisaniu wartości logicznych „tak”, „nie”.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Możliwość uzupełnienia lub poprawienia wniosku o dofinansowanie w ramach kryterium</w:t>
            </w:r>
          </w:p>
        </w:tc>
      </w:tr>
      <w:tr w:rsidR="00606F8E" w:rsidRPr="00934BF4" w:rsidTr="003869E9">
        <w:tc>
          <w:tcPr>
            <w:tcW w:w="141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3.4</w:t>
            </w:r>
          </w:p>
        </w:tc>
        <w:tc>
          <w:tcPr>
            <w:tcW w:w="565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Zdolność operacyjna</w:t>
            </w:r>
          </w:p>
        </w:tc>
        <w:tc>
          <w:tcPr>
            <w:tcW w:w="2964" w:type="pct"/>
            <w:shd w:val="clear" w:color="auto" w:fill="auto"/>
          </w:tcPr>
          <w:p w:rsidR="00606F8E" w:rsidRPr="00934BF4" w:rsidRDefault="00606F8E" w:rsidP="003869E9">
            <w:pPr>
              <w:autoSpaceDE w:val="0"/>
              <w:autoSpaceDN w:val="0"/>
              <w:adjustRightInd w:val="0"/>
              <w:rPr>
                <w:rFonts w:ascii="Myriad Pro" w:eastAsia="MyriadPro-Regular" w:hAnsi="Myriad Pro" w:cs="MyriadPro-Regular"/>
                <w:sz w:val="18"/>
                <w:szCs w:val="18"/>
              </w:rPr>
            </w:pPr>
            <w:r w:rsidRPr="00934BF4">
              <w:rPr>
                <w:rFonts w:ascii="Myriad Pro" w:eastAsia="MyriadPro-Regular" w:hAnsi="Myriad Pro" w:cs="MyriadPro-Regular"/>
                <w:sz w:val="18"/>
                <w:szCs w:val="18"/>
              </w:rPr>
              <w:t>Wnioskodawca zapewnia zasoby techniczne, kadrowe i wiedzę umożliwiającą terminową realizację projektu oraz gwarantujące utrzymanie trwałości projektu, w szczególności jego rezultatów.</w:t>
            </w:r>
          </w:p>
          <w:p w:rsidR="00606F8E" w:rsidRPr="008043E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W przypadku projektu przewidującego zakup wyrobów medycznych, wnioskodawca dysponuje lub zobowiązuje się do dysponowania najpóźniej w dniu zakończenia okresu kwalifikowalności wydatków określonego w wniosku o dofinansowanie projektu, kadrą medyczną odpowiednio wykwalifikowaną do obsługi wyrobów medycznych objętych projektem.</w:t>
            </w:r>
          </w:p>
        </w:tc>
        <w:tc>
          <w:tcPr>
            <w:tcW w:w="1330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 xml:space="preserve">Spełnienie kryterium jest konieczne do przyznania dofinansowania. 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Projekty niespełniające kryterium są odrzucane.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Ocena spełniania kryterium polega na przypisaniu wartości logicznych „tak”, „nie”.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Możliwość uzupełnienia lub poprawienia wniosku o dofinansowanie w ramach kryterium</w:t>
            </w:r>
          </w:p>
        </w:tc>
      </w:tr>
      <w:tr w:rsidR="00606F8E" w:rsidRPr="00934BF4" w:rsidTr="003869E9">
        <w:tc>
          <w:tcPr>
            <w:tcW w:w="141" w:type="pct"/>
          </w:tcPr>
          <w:p w:rsidR="00606F8E" w:rsidRPr="00934BF4" w:rsidRDefault="00606F8E" w:rsidP="003869E9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3.5</w:t>
            </w:r>
          </w:p>
        </w:tc>
        <w:tc>
          <w:tcPr>
            <w:tcW w:w="565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hAnsi="Myriad Pro" w:cstheme="minorHAnsi"/>
                <w:sz w:val="18"/>
                <w:szCs w:val="18"/>
              </w:rPr>
            </w:pPr>
            <w:r w:rsidRPr="00934BF4">
              <w:rPr>
                <w:rFonts w:ascii="Myriad Pro" w:hAnsi="Myriad Pro" w:cstheme="minorHAnsi"/>
                <w:sz w:val="18"/>
                <w:szCs w:val="18"/>
              </w:rPr>
              <w:t>Wykonalność techniczna/technologiczna</w:t>
            </w:r>
          </w:p>
        </w:tc>
        <w:tc>
          <w:tcPr>
            <w:tcW w:w="2964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hAnsi="Myriad Pro" w:cstheme="minorHAnsi"/>
                <w:sz w:val="18"/>
                <w:szCs w:val="18"/>
              </w:rPr>
            </w:pPr>
            <w:r w:rsidRPr="00934BF4">
              <w:rPr>
                <w:rFonts w:ascii="Myriad Pro" w:hAnsi="Myriad Pro" w:cstheme="minorHAnsi"/>
                <w:sz w:val="18"/>
                <w:szCs w:val="18"/>
              </w:rPr>
              <w:t>Projekt jest wykonalny pod względem technicznym. Zaproponowane rozwiązania techniczne/ technologiczne są optymalne i umożliwiają realizację projektu zgodnie z zakładanym harmonogramem.</w:t>
            </w:r>
          </w:p>
          <w:p w:rsidR="00606F8E" w:rsidRPr="00934BF4" w:rsidRDefault="00606F8E" w:rsidP="003869E9">
            <w:pPr>
              <w:rPr>
                <w:rFonts w:ascii="Myriad Pro" w:hAnsi="Myriad Pro" w:cstheme="minorHAnsi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W przypadku projektu przewidującego zakup wyrobów medycznych, wnioskodawca dysponuje lub zobowiązuje się do dysponowania najpóźniej w dniu zakończenia okresu kwalifikowalności wydatków określonego we wniosku o dofinansowanie projektu, infrastrukturą techniczną niezbędną do instalacji i użytkowania wyrobów medycznych objętych projektem.</w:t>
            </w:r>
          </w:p>
        </w:tc>
        <w:tc>
          <w:tcPr>
            <w:tcW w:w="1330" w:type="pct"/>
            <w:shd w:val="clear" w:color="auto" w:fill="auto"/>
          </w:tcPr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 xml:space="preserve">Spełnienie kryterium jest konieczne do przyznania dofinansowania. 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Projekty niespełniające kryterium są odrzucane.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Ocena spełniania kryterium polega na przypisaniu wartości logicznych „tak”, „nie”.</w:t>
            </w:r>
          </w:p>
          <w:p w:rsidR="00606F8E" w:rsidRPr="00934BF4" w:rsidRDefault="00606F8E" w:rsidP="003869E9">
            <w:pPr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Calibri"/>
                <w:color w:val="000000"/>
                <w:sz w:val="18"/>
                <w:szCs w:val="18"/>
              </w:rPr>
              <w:t>Możliwość uzupełnienia lub poprawienia wniosku o dofinansowanie w ramach kryterium</w:t>
            </w:r>
          </w:p>
        </w:tc>
      </w:tr>
    </w:tbl>
    <w:p w:rsidR="008F17CF" w:rsidRDefault="008F17CF" w:rsidP="006B680F"/>
    <w:sectPr w:rsidR="008F17CF" w:rsidSect="00606F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80D" w:rsidRDefault="009A280D" w:rsidP="00E27981">
      <w:pPr>
        <w:spacing w:after="0" w:line="240" w:lineRule="auto"/>
      </w:pPr>
      <w:r>
        <w:separator/>
      </w:r>
    </w:p>
  </w:endnote>
  <w:endnote w:type="continuationSeparator" w:id="0">
    <w:p w:rsidR="009A280D" w:rsidRDefault="009A280D" w:rsidP="00E27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yriadPro-Regular">
    <w:altName w:val="MS Mincho"/>
    <w:panose1 w:val="020B0503030403020204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CCC" w:rsidRDefault="009A280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842050"/>
      <w:docPartObj>
        <w:docPartGallery w:val="Page Numbers (Bottom of Page)"/>
        <w:docPartUnique/>
      </w:docPartObj>
    </w:sdtPr>
    <w:sdtEndPr/>
    <w:sdtContent>
      <w:sdt>
        <w:sdtPr>
          <w:id w:val="567084953"/>
          <w:docPartObj>
            <w:docPartGallery w:val="Page Numbers (Top of Page)"/>
            <w:docPartUnique/>
          </w:docPartObj>
        </w:sdtPr>
        <w:sdtEndPr/>
        <w:sdtContent>
          <w:p w:rsidR="00FB3CCC" w:rsidRDefault="007472F4">
            <w:pPr>
              <w:pStyle w:val="Stopka"/>
              <w:jc w:val="right"/>
            </w:pPr>
            <w:r>
              <w:t xml:space="preserve">Strona </w:t>
            </w:r>
            <w:r w:rsidR="004873F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873F0">
              <w:rPr>
                <w:b/>
                <w:sz w:val="24"/>
                <w:szCs w:val="24"/>
              </w:rPr>
              <w:fldChar w:fldCharType="separate"/>
            </w:r>
            <w:r w:rsidR="008146F6">
              <w:rPr>
                <w:b/>
                <w:noProof/>
              </w:rPr>
              <w:t>5</w:t>
            </w:r>
            <w:r w:rsidR="004873F0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873F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873F0">
              <w:rPr>
                <w:b/>
                <w:sz w:val="24"/>
                <w:szCs w:val="24"/>
              </w:rPr>
              <w:fldChar w:fldCharType="separate"/>
            </w:r>
            <w:r w:rsidR="008146F6">
              <w:rPr>
                <w:b/>
                <w:noProof/>
              </w:rPr>
              <w:t>8</w:t>
            </w:r>
            <w:r w:rsidR="004873F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B3CCC" w:rsidRDefault="009A280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CCC" w:rsidRDefault="009A28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80D" w:rsidRDefault="009A280D" w:rsidP="00E27981">
      <w:pPr>
        <w:spacing w:after="0" w:line="240" w:lineRule="auto"/>
      </w:pPr>
      <w:r>
        <w:separator/>
      </w:r>
    </w:p>
  </w:footnote>
  <w:footnote w:type="continuationSeparator" w:id="0">
    <w:p w:rsidR="009A280D" w:rsidRDefault="009A280D" w:rsidP="00E27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CCC" w:rsidRDefault="009A280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CCC" w:rsidRPr="00E27981" w:rsidRDefault="009A280D" w:rsidP="00E27981">
    <w:pPr>
      <w:pStyle w:val="Nagwek"/>
      <w:rPr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CCC" w:rsidRDefault="009A28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6663"/>
    <w:multiLevelType w:val="hybridMultilevel"/>
    <w:tmpl w:val="37CAAD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75360"/>
    <w:multiLevelType w:val="multilevel"/>
    <w:tmpl w:val="8ED2714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E21D62"/>
    <w:multiLevelType w:val="hybridMultilevel"/>
    <w:tmpl w:val="099E6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4F6DE4"/>
    <w:multiLevelType w:val="hybridMultilevel"/>
    <w:tmpl w:val="360AA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47DB1"/>
    <w:multiLevelType w:val="hybridMultilevel"/>
    <w:tmpl w:val="A582F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471CF"/>
    <w:multiLevelType w:val="hybridMultilevel"/>
    <w:tmpl w:val="73DC2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8E"/>
    <w:rsid w:val="000834F5"/>
    <w:rsid w:val="002C7733"/>
    <w:rsid w:val="00347F03"/>
    <w:rsid w:val="004873F0"/>
    <w:rsid w:val="0058331D"/>
    <w:rsid w:val="005937F2"/>
    <w:rsid w:val="00606F8E"/>
    <w:rsid w:val="006B680F"/>
    <w:rsid w:val="007472F4"/>
    <w:rsid w:val="007A5026"/>
    <w:rsid w:val="008146F6"/>
    <w:rsid w:val="00831E1A"/>
    <w:rsid w:val="008E1E3A"/>
    <w:rsid w:val="008F17CF"/>
    <w:rsid w:val="009A280D"/>
    <w:rsid w:val="00AA1C02"/>
    <w:rsid w:val="00AA3AD7"/>
    <w:rsid w:val="00AD6151"/>
    <w:rsid w:val="00CB63DB"/>
    <w:rsid w:val="00CD19B1"/>
    <w:rsid w:val="00D846C8"/>
    <w:rsid w:val="00E27981"/>
    <w:rsid w:val="00EE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6F8E"/>
    <w:pPr>
      <w:tabs>
        <w:tab w:val="center" w:pos="4536"/>
        <w:tab w:val="right" w:pos="9072"/>
      </w:tabs>
      <w:spacing w:after="0" w:line="240" w:lineRule="auto"/>
    </w:pPr>
    <w:rPr>
      <w:rFonts w:ascii="Myriad Pro" w:hAnsi="Myriad Pro"/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606F8E"/>
    <w:rPr>
      <w:rFonts w:ascii="Myriad Pro" w:hAnsi="Myriad Pro"/>
      <w:sz w:val="16"/>
    </w:rPr>
  </w:style>
  <w:style w:type="paragraph" w:styleId="Stopka">
    <w:name w:val="footer"/>
    <w:basedOn w:val="Normalny"/>
    <w:link w:val="StopkaZnak"/>
    <w:uiPriority w:val="99"/>
    <w:unhideWhenUsed/>
    <w:rsid w:val="00606F8E"/>
    <w:pPr>
      <w:tabs>
        <w:tab w:val="center" w:pos="4536"/>
        <w:tab w:val="right" w:pos="9072"/>
      </w:tabs>
      <w:spacing w:after="0" w:line="240" w:lineRule="auto"/>
    </w:pPr>
    <w:rPr>
      <w:rFonts w:ascii="Myriad Pro" w:hAnsi="Myriad Pro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606F8E"/>
    <w:rPr>
      <w:rFonts w:ascii="Myriad Pro" w:hAnsi="Myriad Pro"/>
      <w:sz w:val="16"/>
    </w:rPr>
  </w:style>
  <w:style w:type="paragraph" w:styleId="Akapitzlist">
    <w:name w:val="List Paragraph"/>
    <w:basedOn w:val="Normalny"/>
    <w:link w:val="AkapitzlistZnak"/>
    <w:uiPriority w:val="34"/>
    <w:qFormat/>
    <w:rsid w:val="00606F8E"/>
    <w:pPr>
      <w:contextualSpacing/>
    </w:pPr>
    <w:rPr>
      <w:rFonts w:ascii="Myriad Pro" w:hAnsi="Myriad Pro"/>
      <w:sz w:val="20"/>
    </w:rPr>
  </w:style>
  <w:style w:type="character" w:customStyle="1" w:styleId="AkapitzlistZnak">
    <w:name w:val="Akapit z listą Znak"/>
    <w:link w:val="Akapitzlist"/>
    <w:uiPriority w:val="34"/>
    <w:locked/>
    <w:rsid w:val="00606F8E"/>
    <w:rPr>
      <w:rFonts w:ascii="Myriad Pro" w:hAnsi="Myriad Pro"/>
      <w:sz w:val="20"/>
    </w:rPr>
  </w:style>
  <w:style w:type="character" w:styleId="Odwoaniedokomentarza">
    <w:name w:val="annotation reference"/>
    <w:basedOn w:val="Domylnaczcionkaakapitu"/>
    <w:uiPriority w:val="99"/>
    <w:unhideWhenUsed/>
    <w:rsid w:val="00606F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6F8E"/>
    <w:pPr>
      <w:spacing w:line="240" w:lineRule="auto"/>
    </w:pPr>
    <w:rPr>
      <w:rFonts w:ascii="Myriad Pro" w:hAnsi="Myriad Pr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6F8E"/>
    <w:rPr>
      <w:rFonts w:ascii="Myriad Pro" w:hAnsi="Myriad Pro"/>
      <w:sz w:val="20"/>
      <w:szCs w:val="20"/>
    </w:rPr>
  </w:style>
  <w:style w:type="table" w:customStyle="1" w:styleId="Tabela-Siatka10">
    <w:name w:val="Tabela - Siatka10"/>
    <w:basedOn w:val="Standardowy"/>
    <w:uiPriority w:val="59"/>
    <w:rsid w:val="0060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606F8E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606F8E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06F8E"/>
    <w:pPr>
      <w:shd w:val="clear" w:color="auto" w:fill="FFFFFF"/>
      <w:spacing w:after="240" w:line="334" w:lineRule="exact"/>
      <w:ind w:hanging="380"/>
      <w:jc w:val="center"/>
    </w:pPr>
    <w:rPr>
      <w:rFonts w:ascii="Arial" w:eastAsia="Arial" w:hAnsi="Arial" w:cs="Arial"/>
      <w:sz w:val="15"/>
      <w:szCs w:val="15"/>
    </w:rPr>
  </w:style>
  <w:style w:type="paragraph" w:customStyle="1" w:styleId="Teksttreci0">
    <w:name w:val="Tekst treści"/>
    <w:basedOn w:val="Normalny"/>
    <w:link w:val="Teksttreci"/>
    <w:rsid w:val="00606F8E"/>
    <w:pPr>
      <w:shd w:val="clear" w:color="auto" w:fill="FFFFFF"/>
      <w:spacing w:before="360" w:after="120" w:line="252" w:lineRule="exact"/>
      <w:ind w:hanging="240"/>
      <w:jc w:val="center"/>
    </w:pPr>
    <w:rPr>
      <w:rFonts w:ascii="Arial" w:eastAsia="Arial" w:hAnsi="Arial" w:cs="Arial"/>
      <w:sz w:val="15"/>
      <w:szCs w:val="15"/>
    </w:rPr>
  </w:style>
  <w:style w:type="table" w:styleId="Tabela-Siatka">
    <w:name w:val="Table Grid"/>
    <w:basedOn w:val="Standardowy"/>
    <w:uiPriority w:val="59"/>
    <w:rsid w:val="0060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6F8E"/>
    <w:pPr>
      <w:tabs>
        <w:tab w:val="center" w:pos="4536"/>
        <w:tab w:val="right" w:pos="9072"/>
      </w:tabs>
      <w:spacing w:after="0" w:line="240" w:lineRule="auto"/>
    </w:pPr>
    <w:rPr>
      <w:rFonts w:ascii="Myriad Pro" w:hAnsi="Myriad Pro"/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606F8E"/>
    <w:rPr>
      <w:rFonts w:ascii="Myriad Pro" w:hAnsi="Myriad Pro"/>
      <w:sz w:val="16"/>
    </w:rPr>
  </w:style>
  <w:style w:type="paragraph" w:styleId="Stopka">
    <w:name w:val="footer"/>
    <w:basedOn w:val="Normalny"/>
    <w:link w:val="StopkaZnak"/>
    <w:uiPriority w:val="99"/>
    <w:unhideWhenUsed/>
    <w:rsid w:val="00606F8E"/>
    <w:pPr>
      <w:tabs>
        <w:tab w:val="center" w:pos="4536"/>
        <w:tab w:val="right" w:pos="9072"/>
      </w:tabs>
      <w:spacing w:after="0" w:line="240" w:lineRule="auto"/>
    </w:pPr>
    <w:rPr>
      <w:rFonts w:ascii="Myriad Pro" w:hAnsi="Myriad Pro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606F8E"/>
    <w:rPr>
      <w:rFonts w:ascii="Myriad Pro" w:hAnsi="Myriad Pro"/>
      <w:sz w:val="16"/>
    </w:rPr>
  </w:style>
  <w:style w:type="paragraph" w:styleId="Akapitzlist">
    <w:name w:val="List Paragraph"/>
    <w:basedOn w:val="Normalny"/>
    <w:link w:val="AkapitzlistZnak"/>
    <w:uiPriority w:val="34"/>
    <w:qFormat/>
    <w:rsid w:val="00606F8E"/>
    <w:pPr>
      <w:contextualSpacing/>
    </w:pPr>
    <w:rPr>
      <w:rFonts w:ascii="Myriad Pro" w:hAnsi="Myriad Pro"/>
      <w:sz w:val="20"/>
    </w:rPr>
  </w:style>
  <w:style w:type="character" w:customStyle="1" w:styleId="AkapitzlistZnak">
    <w:name w:val="Akapit z listą Znak"/>
    <w:link w:val="Akapitzlist"/>
    <w:uiPriority w:val="34"/>
    <w:locked/>
    <w:rsid w:val="00606F8E"/>
    <w:rPr>
      <w:rFonts w:ascii="Myriad Pro" w:hAnsi="Myriad Pro"/>
      <w:sz w:val="20"/>
    </w:rPr>
  </w:style>
  <w:style w:type="character" w:styleId="Odwoaniedokomentarza">
    <w:name w:val="annotation reference"/>
    <w:basedOn w:val="Domylnaczcionkaakapitu"/>
    <w:uiPriority w:val="99"/>
    <w:unhideWhenUsed/>
    <w:rsid w:val="00606F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6F8E"/>
    <w:pPr>
      <w:spacing w:line="240" w:lineRule="auto"/>
    </w:pPr>
    <w:rPr>
      <w:rFonts w:ascii="Myriad Pro" w:hAnsi="Myriad Pr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6F8E"/>
    <w:rPr>
      <w:rFonts w:ascii="Myriad Pro" w:hAnsi="Myriad Pro"/>
      <w:sz w:val="20"/>
      <w:szCs w:val="20"/>
    </w:rPr>
  </w:style>
  <w:style w:type="table" w:customStyle="1" w:styleId="Tabela-Siatka10">
    <w:name w:val="Tabela - Siatka10"/>
    <w:basedOn w:val="Standardowy"/>
    <w:uiPriority w:val="59"/>
    <w:rsid w:val="0060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606F8E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606F8E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06F8E"/>
    <w:pPr>
      <w:shd w:val="clear" w:color="auto" w:fill="FFFFFF"/>
      <w:spacing w:after="240" w:line="334" w:lineRule="exact"/>
      <w:ind w:hanging="380"/>
      <w:jc w:val="center"/>
    </w:pPr>
    <w:rPr>
      <w:rFonts w:ascii="Arial" w:eastAsia="Arial" w:hAnsi="Arial" w:cs="Arial"/>
      <w:sz w:val="15"/>
      <w:szCs w:val="15"/>
    </w:rPr>
  </w:style>
  <w:style w:type="paragraph" w:customStyle="1" w:styleId="Teksttreci0">
    <w:name w:val="Tekst treści"/>
    <w:basedOn w:val="Normalny"/>
    <w:link w:val="Teksttreci"/>
    <w:rsid w:val="00606F8E"/>
    <w:pPr>
      <w:shd w:val="clear" w:color="auto" w:fill="FFFFFF"/>
      <w:spacing w:before="360" w:after="120" w:line="252" w:lineRule="exact"/>
      <w:ind w:hanging="240"/>
      <w:jc w:val="center"/>
    </w:pPr>
    <w:rPr>
      <w:rFonts w:ascii="Arial" w:eastAsia="Arial" w:hAnsi="Arial" w:cs="Arial"/>
      <w:sz w:val="15"/>
      <w:szCs w:val="15"/>
    </w:rPr>
  </w:style>
  <w:style w:type="table" w:styleId="Tabela-Siatka">
    <w:name w:val="Table Grid"/>
    <w:basedOn w:val="Standardowy"/>
    <w:uiPriority w:val="59"/>
    <w:rsid w:val="0060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3314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asurmacz</dc:creator>
  <cp:lastModifiedBy>x</cp:lastModifiedBy>
  <cp:revision>4</cp:revision>
  <cp:lastPrinted>2018-07-17T06:21:00Z</cp:lastPrinted>
  <dcterms:created xsi:type="dcterms:W3CDTF">2018-07-17T06:38:00Z</dcterms:created>
  <dcterms:modified xsi:type="dcterms:W3CDTF">2018-07-17T08:49:00Z</dcterms:modified>
</cp:coreProperties>
</file>