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6B" w:rsidRDefault="0046066B" w:rsidP="0046066B">
      <w:pPr>
        <w:pStyle w:val="Tekstpodstawowy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46066B" w:rsidRDefault="0046066B" w:rsidP="0046066B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15 czerwca 2015 r. Zarząd Województwa Zachodniopomorskiego wyraził zgodę na podpisanie Deklaracji przystąpienia Województwa Zachodniopomorskiego, jako partnera do projektu </w:t>
      </w:r>
      <w:bookmarkStart w:id="0" w:name="_GoBack"/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TENTacle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bookmarkEnd w:id="0"/>
      <w:r>
        <w:rPr>
          <w:rFonts w:ascii="Arial" w:hAnsi="Arial" w:cs="Arial"/>
          <w:sz w:val="20"/>
          <w:szCs w:val="20"/>
        </w:rPr>
        <w:t xml:space="preserve">w ramach Programu Europejskiej Współpracy Terytorialnej – Program </w:t>
      </w:r>
      <w:proofErr w:type="spellStart"/>
      <w:r>
        <w:rPr>
          <w:rFonts w:ascii="Arial" w:hAnsi="Arial" w:cs="Arial"/>
          <w:sz w:val="20"/>
          <w:szCs w:val="20"/>
        </w:rPr>
        <w:t>Interreg</w:t>
      </w:r>
      <w:proofErr w:type="spellEnd"/>
      <w:r>
        <w:rPr>
          <w:rFonts w:ascii="Arial" w:hAnsi="Arial" w:cs="Arial"/>
          <w:sz w:val="20"/>
          <w:szCs w:val="20"/>
        </w:rPr>
        <w:t xml:space="preserve"> Region Morza Bałtyckiego 2014-2020.</w:t>
      </w:r>
    </w:p>
    <w:p w:rsidR="0046066B" w:rsidRDefault="0046066B" w:rsidP="0046066B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 listopada 2015 r. projekt, którego głównym celem jest zwiększenie możliwości czerpania przez grupy docelowe korzyści z procesu wdrażania korytarzy sieci bazowej pod kątem zrównoważonego rozwoju i spójności terytorialnej w Regionie Morza Bałtyckiego, został oficjalnie przyjęty do realizacji </w:t>
      </w:r>
      <w:r>
        <w:rPr>
          <w:rFonts w:ascii="Arial" w:hAnsi="Arial" w:cs="Arial"/>
          <w:sz w:val="20"/>
          <w:szCs w:val="20"/>
        </w:rPr>
        <w:br/>
        <w:t>w ramach budżetu ww. programu ze środków Europejskiego Funduszu Rozwoju Regionalnego.</w:t>
      </w:r>
    </w:p>
    <w:p w:rsidR="0046066B" w:rsidRDefault="0046066B" w:rsidP="0046066B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dniach 3-4 lutego 2016 r. w </w:t>
      </w:r>
      <w:proofErr w:type="spellStart"/>
      <w:r>
        <w:rPr>
          <w:rFonts w:ascii="Arial" w:hAnsi="Arial" w:cs="Arial"/>
          <w:sz w:val="20"/>
          <w:szCs w:val="20"/>
        </w:rPr>
        <w:t>Karlskronie</w:t>
      </w:r>
      <w:proofErr w:type="spellEnd"/>
      <w:r>
        <w:rPr>
          <w:rFonts w:ascii="Arial" w:hAnsi="Arial" w:cs="Arial"/>
          <w:sz w:val="20"/>
          <w:szCs w:val="20"/>
        </w:rPr>
        <w:t xml:space="preserve"> (Szwecja) odbędzie się oficjalna inauguracja projektu. Celem spotkania jest zaprezentowanie założeń projektu oraz omówienie aspektów organizacyjnych, finansowych i prawnych jego realizacji m. in.: zmian budżetu, wytycznych do zarządzania finansowego, procedur raportowania, treści umowy partnerskiej, s</w:t>
      </w:r>
      <w:r>
        <w:rPr>
          <w:rStyle w:val="hps"/>
          <w:rFonts w:ascii="Arial" w:hAnsi="Arial" w:cs="Arial"/>
          <w:sz w:val="20"/>
          <w:szCs w:val="20"/>
        </w:rPr>
        <w:t>zczegółowego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planu pracy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z w:val="20"/>
          <w:szCs w:val="20"/>
        </w:rPr>
        <w:t xml:space="preserve"> poszczególnych </w:t>
      </w:r>
      <w:r>
        <w:rPr>
          <w:rStyle w:val="hps"/>
          <w:rFonts w:ascii="Arial" w:hAnsi="Arial" w:cs="Arial"/>
          <w:sz w:val="20"/>
          <w:szCs w:val="20"/>
        </w:rPr>
        <w:t xml:space="preserve">studiów przypadku, narzędzi komunikacji. </w:t>
      </w:r>
    </w:p>
    <w:p w:rsidR="0046066B" w:rsidRDefault="0046066B" w:rsidP="0046066B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w ramach projektu realizować będzie zadania wspólnie z Regionem Skanii przy wsparciu pozostałych regionów tworzących ŚKT-EUWT z o.o. oraz innych instytucji stowarzyszonych </w:t>
      </w:r>
      <w:r>
        <w:rPr>
          <w:rFonts w:ascii="Arial" w:hAnsi="Arial" w:cs="Arial"/>
          <w:sz w:val="20"/>
          <w:szCs w:val="20"/>
        </w:rPr>
        <w:br/>
        <w:t>( m. in. Zarządu Morskich Portów Szczecin i Świnoujście, Klastra Morskiego Pomorza Zachodniego, Ligi Morskiej i Rzecznej). W ramach spotkania przedstawiciele Wydziału Współpracy Terytorialnej przedstawią plan pracy dla studium przypadku rozproszonego centrum logistycznego na obszarze Regionu Wodnego Środkowej i Dolnej Odry powiązanego politycznie, gospodarczo i infrastrukturalnie z regionami szwedzkimi.</w:t>
      </w:r>
    </w:p>
    <w:p w:rsidR="0046066B" w:rsidRDefault="0046066B" w:rsidP="0046066B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poniesione w ramach działań realizowanych na rzecz projektu po 20 listopada 2015 r. podlegają refundacji. Refundacja kosztów udziału w wydarzeniu może wynieść do 85% poniesionych kosztów kwalifikowalnych.  </w:t>
      </w:r>
    </w:p>
    <w:p w:rsidR="0046066B" w:rsidRDefault="0046066B" w:rsidP="0046066B">
      <w:pPr>
        <w:pStyle w:val="Tekstpodstawowy"/>
        <w:tabs>
          <w:tab w:val="num" w:pos="0"/>
        </w:tabs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otrzymaniu informacji o wysokości przyznanego dofinasowania oraz podpisaniu umowy </w:t>
      </w:r>
      <w:r>
        <w:rPr>
          <w:rFonts w:ascii="Arial" w:hAnsi="Arial" w:cs="Arial"/>
          <w:sz w:val="20"/>
          <w:szCs w:val="20"/>
        </w:rPr>
        <w:br/>
        <w:t>o dofinansowanie przez lidera projektu, zgodnie z obowiązującymi zasadami dokonywania zmian budżetu oraz wieloletniej prognozy finansowej WZ, Wydział Współpracy Terytorialnej złoży stosowne dokumenty celem wprowadzenia nowego zadania do budżetu oraz WPF.</w:t>
      </w:r>
    </w:p>
    <w:p w:rsidR="0046066B" w:rsidRPr="00374B4F" w:rsidRDefault="0046066B" w:rsidP="0046066B">
      <w:pPr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0688" w:rsidRDefault="00920688"/>
    <w:sectPr w:rsidR="0092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6B"/>
    <w:rsid w:val="0046066B"/>
    <w:rsid w:val="009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60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66B"/>
    <w:rPr>
      <w:rFonts w:ascii="Calibri" w:eastAsia="Calibri" w:hAnsi="Calibri" w:cs="Times New Roman"/>
    </w:rPr>
  </w:style>
  <w:style w:type="character" w:customStyle="1" w:styleId="hps">
    <w:name w:val="hps"/>
    <w:rsid w:val="00460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60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66B"/>
    <w:rPr>
      <w:rFonts w:ascii="Calibri" w:eastAsia="Calibri" w:hAnsi="Calibri" w:cs="Times New Roman"/>
    </w:rPr>
  </w:style>
  <w:style w:type="character" w:customStyle="1" w:styleId="hps">
    <w:name w:val="hps"/>
    <w:rsid w:val="0046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2016-02-02T09:06:00Z</dcterms:created>
  <dcterms:modified xsi:type="dcterms:W3CDTF">2016-02-02T09:07:00Z</dcterms:modified>
</cp:coreProperties>
</file>