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EF" w:rsidRPr="00306B1F" w:rsidRDefault="000751EF" w:rsidP="000751EF">
      <w:pPr>
        <w:pStyle w:val="Tekstpodstawowy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306B1F">
        <w:rPr>
          <w:rFonts w:ascii="Arial" w:hAnsi="Arial" w:cs="Arial"/>
          <w:b/>
          <w:sz w:val="20"/>
          <w:szCs w:val="20"/>
        </w:rPr>
        <w:t>Uzasadnienie</w:t>
      </w:r>
    </w:p>
    <w:p w:rsidR="000751EF" w:rsidRPr="00306B1F" w:rsidRDefault="000751EF" w:rsidP="000751EF">
      <w:pPr>
        <w:pStyle w:val="Tekstpodstawowy"/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0751EF" w:rsidRPr="00306B1F" w:rsidRDefault="000751EF" w:rsidP="000751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06B1F">
        <w:rPr>
          <w:rFonts w:ascii="Arial" w:hAnsi="Arial" w:cs="Arial"/>
          <w:snapToGrid w:val="0"/>
          <w:sz w:val="20"/>
          <w:szCs w:val="20"/>
        </w:rPr>
        <w:t>W sierpniu 2015 r. Uniwersytet Szczeciński – Wydział Zarzadzania i Ekonomik Usług zwrócił się do Wydziału Współpracy Terytorialnej o włączenie się w przygotowanie koncepcji projektu</w:t>
      </w:r>
      <w:r w:rsidRPr="00306B1F">
        <w:rPr>
          <w:rFonts w:ascii="Arial" w:hAnsi="Arial" w:cs="Arial"/>
          <w:sz w:val="20"/>
          <w:szCs w:val="20"/>
        </w:rPr>
        <w:t xml:space="preserve"> współpracy pomiędzy przedsiębiorstwami kreatywnymi i tradycyjnymi, celem wypracowania wartości dodanej i stworzenia innowacji </w:t>
      </w:r>
      <w:proofErr w:type="spellStart"/>
      <w:r w:rsidRPr="00306B1F">
        <w:rPr>
          <w:rFonts w:ascii="Arial" w:hAnsi="Arial" w:cs="Arial"/>
          <w:sz w:val="20"/>
          <w:szCs w:val="20"/>
        </w:rPr>
        <w:t>pozatechnologicznych</w:t>
      </w:r>
      <w:proofErr w:type="spellEnd"/>
      <w:r w:rsidRPr="00306B1F">
        <w:rPr>
          <w:rFonts w:ascii="Arial" w:hAnsi="Arial" w:cs="Arial"/>
          <w:sz w:val="20"/>
          <w:szCs w:val="20"/>
        </w:rPr>
        <w:t xml:space="preserve"> oraz produktów i usług. </w:t>
      </w:r>
    </w:p>
    <w:p w:rsidR="000751EF" w:rsidRPr="00306B1F" w:rsidRDefault="000751EF" w:rsidP="000751EF">
      <w:p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  <w:r w:rsidRPr="00306B1F">
        <w:rPr>
          <w:rFonts w:ascii="Arial" w:hAnsi="Arial" w:cs="Arial"/>
          <w:sz w:val="20"/>
          <w:szCs w:val="20"/>
        </w:rPr>
        <w:t>Projekt</w:t>
      </w:r>
      <w:r w:rsidRPr="00306B1F">
        <w:rPr>
          <w:rFonts w:ascii="Arial" w:hAnsi="Arial" w:cs="Arial"/>
          <w:snapToGrid w:val="0"/>
          <w:sz w:val="20"/>
          <w:szCs w:val="20"/>
        </w:rPr>
        <w:t xml:space="preserve"> CTCC (ang. Creative </w:t>
      </w:r>
      <w:proofErr w:type="spellStart"/>
      <w:r w:rsidRPr="00306B1F">
        <w:rPr>
          <w:rFonts w:ascii="Arial" w:hAnsi="Arial" w:cs="Arial"/>
          <w:snapToGrid w:val="0"/>
          <w:sz w:val="20"/>
          <w:szCs w:val="20"/>
        </w:rPr>
        <w:t>Traditional</w:t>
      </w:r>
      <w:proofErr w:type="spellEnd"/>
      <w:r w:rsidRPr="00306B1F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spellStart"/>
      <w:r w:rsidRPr="00306B1F">
        <w:rPr>
          <w:rFonts w:ascii="Arial" w:hAnsi="Arial" w:cs="Arial"/>
          <w:snapToGrid w:val="0"/>
          <w:sz w:val="20"/>
          <w:szCs w:val="20"/>
        </w:rPr>
        <w:t>Companies</w:t>
      </w:r>
      <w:proofErr w:type="spellEnd"/>
      <w:r w:rsidRPr="00306B1F">
        <w:rPr>
          <w:rFonts w:ascii="Arial" w:hAnsi="Arial" w:cs="Arial"/>
          <w:snapToGrid w:val="0"/>
          <w:sz w:val="20"/>
          <w:szCs w:val="20"/>
        </w:rPr>
        <w:t xml:space="preserve"> </w:t>
      </w:r>
      <w:proofErr w:type="spellStart"/>
      <w:r w:rsidRPr="00306B1F">
        <w:rPr>
          <w:rFonts w:ascii="Arial" w:hAnsi="Arial" w:cs="Arial"/>
          <w:snapToGrid w:val="0"/>
          <w:sz w:val="20"/>
          <w:szCs w:val="20"/>
        </w:rPr>
        <w:t>Cooperation</w:t>
      </w:r>
      <w:proofErr w:type="spellEnd"/>
      <w:r w:rsidRPr="00306B1F">
        <w:rPr>
          <w:rFonts w:ascii="Arial" w:hAnsi="Arial" w:cs="Arial"/>
          <w:snapToGrid w:val="0"/>
          <w:sz w:val="20"/>
          <w:szCs w:val="20"/>
        </w:rPr>
        <w:t xml:space="preserve"> – Współpraca przedsiębiorstw kreatywnych </w:t>
      </w:r>
      <w:r w:rsidRPr="00306B1F">
        <w:rPr>
          <w:rFonts w:ascii="Arial" w:hAnsi="Arial" w:cs="Arial"/>
          <w:snapToGrid w:val="0"/>
          <w:sz w:val="20"/>
          <w:szCs w:val="20"/>
        </w:rPr>
        <w:br/>
        <w:t xml:space="preserve">i tradycyjnych) </w:t>
      </w:r>
      <w:r w:rsidRPr="00306B1F">
        <w:rPr>
          <w:rFonts w:ascii="Arial" w:hAnsi="Arial" w:cs="Arial"/>
          <w:sz w:val="20"/>
          <w:szCs w:val="20"/>
        </w:rPr>
        <w:t xml:space="preserve">będzie realizowany w obrębie Regionu Południowego Bałtyku poprzez szereg wspólnych działań na rzecz transferu wiedzy i wymiany dobrych praktyk, jak również zainicjowania i opracowania nowych produktów i usług. </w:t>
      </w:r>
    </w:p>
    <w:p w:rsidR="000751EF" w:rsidRPr="00306B1F" w:rsidRDefault="000751EF" w:rsidP="000751EF">
      <w:pPr>
        <w:pStyle w:val="Akapitzlist"/>
        <w:spacing w:line="276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306B1F">
        <w:rPr>
          <w:rFonts w:ascii="Arial" w:hAnsi="Arial" w:cs="Arial"/>
          <w:sz w:val="20"/>
          <w:szCs w:val="20"/>
        </w:rPr>
        <w:t xml:space="preserve">W sektorze kreatywnym w Regionie Południowego Bałtyku dominują małe i średnie przedsiębiorstwa, wykazujące wysoki potencjał w zakresie kreatywności przy niskich kompetencjach biznesowych. Sektor tradycyjny jest dobrze rozwinięty, przy czym jego poszczególne gałęzie obecne są w różnych regionach. Głównym zadaniem jest zachęcenie przedsiębiorstw działających w sektorze niebieskim </w:t>
      </w:r>
      <w:r w:rsidRPr="00306B1F">
        <w:rPr>
          <w:rFonts w:ascii="Arial" w:hAnsi="Arial" w:cs="Arial"/>
          <w:sz w:val="20"/>
          <w:szCs w:val="20"/>
        </w:rPr>
        <w:br/>
        <w:t>i zielonym do podjęcia współpracy i wspólnego opracowania nowych produktów i usług o wyższym stopniu zrównoważenia, innowacyjności i przyjazności dla użytkownika. Rola projektu, jak również kreatywnego przemysłu i jego wkładu w obszarze kultury, stanowią kluczowe kwestie ekonomiczne. Prawdziwym wyzwaniem jest nie tyle zaprojektowanie lepszych produktów i procesów, ile stworzenie całkowicie nowych modeli biznesowych.</w:t>
      </w:r>
    </w:p>
    <w:p w:rsidR="000751EF" w:rsidRPr="00F17EAC" w:rsidRDefault="000751EF" w:rsidP="000751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06B1F">
        <w:rPr>
          <w:rFonts w:ascii="Arial" w:hAnsi="Arial" w:cs="Arial"/>
          <w:bCs/>
          <w:sz w:val="20"/>
          <w:szCs w:val="20"/>
        </w:rPr>
        <w:t xml:space="preserve">Zrównoważony rozwój gospodarczy </w:t>
      </w:r>
      <w:r w:rsidRPr="00306B1F">
        <w:rPr>
          <w:rFonts w:ascii="Arial" w:hAnsi="Arial" w:cs="Arial"/>
          <w:sz w:val="20"/>
          <w:szCs w:val="20"/>
        </w:rPr>
        <w:t xml:space="preserve">jest obecnie niezwykle istotny, nie tylko w kontekście innowacji społecznych w obrębie Unii Europejskiej i związanych z nimi współczesnych wyzwań, tj. zmiany klimatyczne i demograficzne, czy też ekonomia polityczna krajów, ale także z uwagi na </w:t>
      </w:r>
      <w:r w:rsidRPr="00306B1F">
        <w:rPr>
          <w:rFonts w:ascii="Arial" w:hAnsi="Arial" w:cs="Arial"/>
          <w:bCs/>
          <w:sz w:val="20"/>
          <w:szCs w:val="20"/>
        </w:rPr>
        <w:t>bieżącą sytuację gospodarczą krajów w basenie Morza Bałtyckiego</w:t>
      </w:r>
      <w:r w:rsidRPr="00306B1F">
        <w:rPr>
          <w:rFonts w:ascii="Arial" w:hAnsi="Arial" w:cs="Arial"/>
          <w:sz w:val="20"/>
          <w:szCs w:val="20"/>
        </w:rPr>
        <w:t xml:space="preserve">. Możemy zaobserwować, iż region ten obejmuje kraje, takie jak </w:t>
      </w:r>
      <w:r w:rsidRPr="00306B1F">
        <w:rPr>
          <w:rFonts w:ascii="Arial" w:hAnsi="Arial" w:cs="Arial"/>
          <w:bCs/>
          <w:sz w:val="20"/>
          <w:szCs w:val="20"/>
        </w:rPr>
        <w:t xml:space="preserve">Szwecja czy Dania, wykazujące wysoką dynamikę i innowację, podejmujące </w:t>
      </w:r>
      <w:r w:rsidRPr="00F17EAC">
        <w:rPr>
          <w:rFonts w:ascii="Arial" w:hAnsi="Arial" w:cs="Arial"/>
          <w:bCs/>
          <w:sz w:val="20"/>
          <w:szCs w:val="20"/>
        </w:rPr>
        <w:t xml:space="preserve">realizację działań badawczo-rozwojowych oraz tworzące ekosystem sprzyjający rozwojowi  </w:t>
      </w:r>
      <w:r w:rsidRPr="00F17EAC">
        <w:rPr>
          <w:rFonts w:ascii="Arial" w:hAnsi="Arial" w:cs="Arial"/>
          <w:sz w:val="20"/>
          <w:szCs w:val="20"/>
        </w:rPr>
        <w:t>(„</w:t>
      </w:r>
      <w:proofErr w:type="spellStart"/>
      <w:r w:rsidRPr="00F17EAC">
        <w:rPr>
          <w:rFonts w:ascii="Arial" w:hAnsi="Arial" w:cs="Arial"/>
          <w:sz w:val="20"/>
          <w:szCs w:val="20"/>
        </w:rPr>
        <w:t>Innovation</w:t>
      </w:r>
      <w:proofErr w:type="spellEnd"/>
      <w:r w:rsidRPr="00F17EAC">
        <w:rPr>
          <w:rFonts w:ascii="Arial" w:hAnsi="Arial" w:cs="Arial"/>
          <w:sz w:val="20"/>
          <w:szCs w:val="20"/>
        </w:rPr>
        <w:t xml:space="preserve"> Union </w:t>
      </w:r>
      <w:proofErr w:type="spellStart"/>
      <w:r w:rsidRPr="00F17EAC">
        <w:rPr>
          <w:rFonts w:ascii="Arial" w:hAnsi="Arial" w:cs="Arial"/>
          <w:sz w:val="20"/>
          <w:szCs w:val="20"/>
        </w:rPr>
        <w:t>Scoreboard</w:t>
      </w:r>
      <w:proofErr w:type="spellEnd"/>
      <w:r w:rsidRPr="00F17EAC">
        <w:rPr>
          <w:rFonts w:ascii="Arial" w:hAnsi="Arial" w:cs="Arial"/>
          <w:sz w:val="20"/>
          <w:szCs w:val="20"/>
        </w:rPr>
        <w:t xml:space="preserve">” z 2014 r.). Na przeciwległym biegunie znajdują się natomiast takie kraje, jak </w:t>
      </w:r>
      <w:r w:rsidRPr="00F17EAC">
        <w:rPr>
          <w:rFonts w:ascii="Arial" w:hAnsi="Arial" w:cs="Arial"/>
          <w:bCs/>
          <w:sz w:val="20"/>
          <w:szCs w:val="20"/>
        </w:rPr>
        <w:t xml:space="preserve">Polska czy Litwa, które od lat starają się dogonić kraje skandynawskie, często poprzez zakup technologii, </w:t>
      </w:r>
      <w:r w:rsidRPr="00F17EAC">
        <w:rPr>
          <w:rFonts w:ascii="Arial" w:hAnsi="Arial" w:cs="Arial"/>
          <w:sz w:val="20"/>
          <w:szCs w:val="20"/>
        </w:rPr>
        <w:t>które niejednokrotnie były kosztowne i nie w pełni dostosowane do realiów słabiej rozwiniętych krajów.</w:t>
      </w:r>
    </w:p>
    <w:p w:rsidR="000751EF" w:rsidRPr="00F17EAC" w:rsidRDefault="000751EF" w:rsidP="000751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F17EAC">
        <w:rPr>
          <w:rFonts w:ascii="Arial" w:hAnsi="Arial" w:cs="Arial"/>
          <w:sz w:val="20"/>
          <w:szCs w:val="20"/>
        </w:rPr>
        <w:t xml:space="preserve">W ramach projektu zdefiniowane zostaną </w:t>
      </w:r>
      <w:r w:rsidRPr="00F17EAC">
        <w:rPr>
          <w:rFonts w:ascii="Arial" w:hAnsi="Arial" w:cs="Arial"/>
          <w:bCs/>
          <w:sz w:val="20"/>
          <w:szCs w:val="20"/>
        </w:rPr>
        <w:t xml:space="preserve">możliwości współpracy pomiędzy sektorami kreatywnym </w:t>
      </w:r>
      <w:r w:rsidRPr="00F17EAC">
        <w:rPr>
          <w:rFonts w:ascii="Arial" w:hAnsi="Arial" w:cs="Arial"/>
          <w:bCs/>
          <w:sz w:val="20"/>
          <w:szCs w:val="20"/>
        </w:rPr>
        <w:br/>
        <w:t>i tradycyjnym (powiązanymi z inteligentnymi specjalizacjami) w obrębie gospodarki basenu Morza Bałtyckiego</w:t>
      </w:r>
      <w:r w:rsidRPr="00F17EAC">
        <w:rPr>
          <w:rFonts w:ascii="Arial" w:hAnsi="Arial" w:cs="Arial"/>
          <w:sz w:val="20"/>
          <w:szCs w:val="20"/>
        </w:rPr>
        <w:t xml:space="preserve">, a także stworzone zostaną modele transferu innowacji na rzecz małych i średnich przedsiębiorstw z niebieskiego i zielonego sektora ( np. sektor: morski oraz rybołówstwa, energetyczny, energii odnawialnej)  w  Województwie Zachodniopomorskim. </w:t>
      </w:r>
    </w:p>
    <w:p w:rsidR="000751EF" w:rsidRPr="00F17EAC" w:rsidRDefault="000751EF" w:rsidP="000751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F17EAC">
        <w:rPr>
          <w:rFonts w:ascii="Arial" w:hAnsi="Arial" w:cs="Arial"/>
          <w:sz w:val="20"/>
          <w:szCs w:val="20"/>
        </w:rPr>
        <w:t>Województwo  deklaruje gotowość wsparcia projektu CTCC poprzez:</w:t>
      </w:r>
    </w:p>
    <w:p w:rsidR="000751EF" w:rsidRPr="00F17EAC" w:rsidRDefault="000751EF" w:rsidP="000751E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17EAC">
        <w:rPr>
          <w:rFonts w:ascii="Arial" w:hAnsi="Arial" w:cs="Arial"/>
          <w:sz w:val="20"/>
          <w:szCs w:val="20"/>
        </w:rPr>
        <w:t>przekazanie posiadanej wiedzy w ramach realizacji projektu oraz udział w wydarzeniach projektowych;</w:t>
      </w:r>
    </w:p>
    <w:p w:rsidR="000751EF" w:rsidRPr="00F17EAC" w:rsidRDefault="000751EF" w:rsidP="000751E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17EAC">
        <w:rPr>
          <w:rFonts w:ascii="Arial" w:hAnsi="Arial" w:cs="Arial"/>
          <w:sz w:val="20"/>
          <w:szCs w:val="20"/>
        </w:rPr>
        <w:t>promowanie wyników projektu;</w:t>
      </w:r>
    </w:p>
    <w:p w:rsidR="000751EF" w:rsidRPr="00F17EAC" w:rsidRDefault="000751EF" w:rsidP="000751E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17EAC">
        <w:rPr>
          <w:rFonts w:ascii="Arial" w:hAnsi="Arial" w:cs="Arial"/>
          <w:sz w:val="20"/>
          <w:szCs w:val="20"/>
        </w:rPr>
        <w:t xml:space="preserve">członkostwo w sieci CTCC stanowiącej platformę współpracy pomiędzy przedsiębiorstwami kreatywnymi i tradycyjnymi, oraz wymiany najlepszych praktyk, rozwiązań interesariuszy </w:t>
      </w:r>
      <w:r w:rsidRPr="00F17EAC">
        <w:rPr>
          <w:rFonts w:ascii="Arial" w:hAnsi="Arial" w:cs="Arial"/>
          <w:sz w:val="20"/>
          <w:szCs w:val="20"/>
        </w:rPr>
        <w:br/>
        <w:t>i pomysłów biznesowych w Regionie Południowego Bałtyku i poza nim;</w:t>
      </w:r>
    </w:p>
    <w:p w:rsidR="000751EF" w:rsidRPr="00F17EAC" w:rsidRDefault="000751EF" w:rsidP="000751E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17EAC">
        <w:rPr>
          <w:rFonts w:ascii="Arial" w:hAnsi="Arial" w:cs="Arial"/>
          <w:sz w:val="20"/>
          <w:szCs w:val="20"/>
        </w:rPr>
        <w:t xml:space="preserve">wkład w postaci posiadanych przez nas zasobów ludzkich w niezbędnym i możliwym </w:t>
      </w:r>
      <w:r w:rsidRPr="00F17EAC">
        <w:rPr>
          <w:rFonts w:ascii="Arial" w:hAnsi="Arial" w:cs="Arial"/>
          <w:sz w:val="20"/>
          <w:szCs w:val="20"/>
        </w:rPr>
        <w:br/>
        <w:t>do zrealizowania zakresie.</w:t>
      </w:r>
    </w:p>
    <w:p w:rsidR="000751EF" w:rsidRPr="00306B1F" w:rsidRDefault="000751EF" w:rsidP="000751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F17EAC">
        <w:rPr>
          <w:rFonts w:ascii="Arial" w:hAnsi="Arial" w:cs="Arial"/>
          <w:sz w:val="20"/>
          <w:szCs w:val="20"/>
        </w:rPr>
        <w:t>Województwo Zachodniopomorskie, jako partner stowarzyszony projektu, będzie brać aktywny udział w projekcie, ale nie będzie występować o refundację z EFRR. Województwo  prze</w:t>
      </w:r>
      <w:r>
        <w:rPr>
          <w:rFonts w:ascii="Arial" w:hAnsi="Arial" w:cs="Arial"/>
          <w:sz w:val="20"/>
          <w:szCs w:val="20"/>
        </w:rPr>
        <w:t>ka</w:t>
      </w:r>
      <w:r w:rsidRPr="00F17EAC">
        <w:rPr>
          <w:rFonts w:ascii="Arial" w:hAnsi="Arial" w:cs="Arial"/>
          <w:sz w:val="20"/>
          <w:szCs w:val="20"/>
        </w:rPr>
        <w:t>zuje wkład  własny  niefinansowy do  projektu w postaci pracy merytorycznej.</w:t>
      </w:r>
      <w:r>
        <w:rPr>
          <w:rFonts w:ascii="Arial" w:hAnsi="Arial" w:cs="Arial"/>
          <w:sz w:val="20"/>
          <w:szCs w:val="20"/>
        </w:rPr>
        <w:t xml:space="preserve"> </w:t>
      </w:r>
      <w:r w:rsidRPr="00306B1F">
        <w:rPr>
          <w:rFonts w:ascii="Arial" w:hAnsi="Arial" w:cs="Arial"/>
          <w:sz w:val="20"/>
          <w:szCs w:val="20"/>
        </w:rPr>
        <w:t xml:space="preserve"> </w:t>
      </w:r>
    </w:p>
    <w:p w:rsidR="000751EF" w:rsidRDefault="000751EF" w:rsidP="000751EF">
      <w:pPr>
        <w:pStyle w:val="Tekstpodstawowy"/>
        <w:spacing w:after="0"/>
        <w:ind w:left="284"/>
        <w:jc w:val="center"/>
        <w:rPr>
          <w:rFonts w:ascii="Arial" w:hAnsi="Arial" w:cs="Arial"/>
          <w:b/>
          <w:sz w:val="18"/>
          <w:szCs w:val="18"/>
        </w:rPr>
      </w:pPr>
    </w:p>
    <w:p w:rsidR="00823371" w:rsidRDefault="00823371">
      <w:bookmarkStart w:id="0" w:name="_GoBack"/>
      <w:bookmarkEnd w:id="0"/>
    </w:p>
    <w:sectPr w:rsidR="00823371" w:rsidSect="000751EF">
      <w:pgSz w:w="11906" w:h="16838" w:code="9"/>
      <w:pgMar w:top="1276" w:right="1247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7F0A"/>
    <w:multiLevelType w:val="hybridMultilevel"/>
    <w:tmpl w:val="04CA2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EF"/>
    <w:rsid w:val="000751EF"/>
    <w:rsid w:val="0082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1E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0751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51EF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0751EF"/>
    <w:pPr>
      <w:spacing w:after="0" w:line="240" w:lineRule="auto"/>
      <w:ind w:left="720"/>
    </w:pPr>
  </w:style>
  <w:style w:type="character" w:customStyle="1" w:styleId="AkapitzlistZnak">
    <w:name w:val="Akapit z listą Znak"/>
    <w:link w:val="Akapitzlist"/>
    <w:uiPriority w:val="34"/>
    <w:locked/>
    <w:rsid w:val="000751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1E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0751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51EF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0751EF"/>
    <w:pPr>
      <w:spacing w:after="0" w:line="240" w:lineRule="auto"/>
      <w:ind w:left="720"/>
    </w:pPr>
  </w:style>
  <w:style w:type="character" w:customStyle="1" w:styleId="AkapitzlistZnak">
    <w:name w:val="Akapit z listą Znak"/>
    <w:link w:val="Akapitzlist"/>
    <w:uiPriority w:val="34"/>
    <w:locked/>
    <w:rsid w:val="000751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2015-10-15T11:03:00Z</dcterms:created>
  <dcterms:modified xsi:type="dcterms:W3CDTF">2015-10-15T11:04:00Z</dcterms:modified>
</cp:coreProperties>
</file>