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D2" w:rsidRDefault="001056D2" w:rsidP="001056D2">
      <w:pPr>
        <w:jc w:val="both"/>
      </w:pPr>
      <w:r>
        <w:t>Szanowni Państwo,</w:t>
      </w:r>
    </w:p>
    <w:p w:rsidR="001056D2" w:rsidRDefault="001056D2" w:rsidP="001056D2">
      <w:pPr>
        <w:jc w:val="both"/>
      </w:pPr>
    </w:p>
    <w:p w:rsidR="00424228" w:rsidRPr="00776B82" w:rsidRDefault="00424228" w:rsidP="001056D2">
      <w:pPr>
        <w:jc w:val="both"/>
        <w:rPr>
          <w:b/>
          <w:bCs/>
        </w:rPr>
      </w:pPr>
      <w:r>
        <w:t xml:space="preserve">W związku z </w:t>
      </w:r>
      <w:r w:rsidR="002652CF">
        <w:rPr>
          <w:b/>
        </w:rPr>
        <w:t>planowaną do realizacji w 2023</w:t>
      </w:r>
      <w:r w:rsidRPr="00776B82">
        <w:rPr>
          <w:b/>
        </w:rPr>
        <w:t xml:space="preserve"> r. renowacją oznakowania Pomorskiej Drogi św. Jakuba na odcinku </w:t>
      </w:r>
      <w:r w:rsidR="002652CF">
        <w:rPr>
          <w:b/>
        </w:rPr>
        <w:t xml:space="preserve">Koszalin </w:t>
      </w:r>
      <w:r w:rsidRPr="00776B82">
        <w:rPr>
          <w:b/>
          <w:bCs/>
        </w:rPr>
        <w:t xml:space="preserve">– </w:t>
      </w:r>
      <w:r w:rsidR="002652CF">
        <w:rPr>
          <w:b/>
          <w:bCs/>
        </w:rPr>
        <w:t>Dobrzyca – Kołobrzeg</w:t>
      </w:r>
      <w:r w:rsidRPr="00776B82">
        <w:rPr>
          <w:b/>
          <w:bCs/>
        </w:rPr>
        <w:t xml:space="preserve"> </w:t>
      </w:r>
      <w:r w:rsidR="002652CF">
        <w:rPr>
          <w:b/>
          <w:bCs/>
        </w:rPr>
        <w:t>–</w:t>
      </w:r>
      <w:r w:rsidRPr="00776B82">
        <w:rPr>
          <w:b/>
          <w:bCs/>
        </w:rPr>
        <w:t xml:space="preserve"> </w:t>
      </w:r>
      <w:r w:rsidR="002652CF">
        <w:rPr>
          <w:b/>
          <w:bCs/>
        </w:rPr>
        <w:t>Trzebiatów – Kamień Pomorski</w:t>
      </w:r>
      <w:r w:rsidRPr="00776B82">
        <w:rPr>
          <w:b/>
          <w:bCs/>
        </w:rPr>
        <w:t>,</w:t>
      </w:r>
      <w:r w:rsidRPr="00424228">
        <w:rPr>
          <w:bCs/>
        </w:rPr>
        <w:t xml:space="preserve"> </w:t>
      </w:r>
      <w:r w:rsidR="00776B82">
        <w:rPr>
          <w:bCs/>
        </w:rPr>
        <w:t>w związku z</w:t>
      </w:r>
      <w:r w:rsidR="006A669C">
        <w:rPr>
          <w:bCs/>
        </w:rPr>
        <w:t> </w:t>
      </w:r>
      <w:r w:rsidR="00776B82">
        <w:rPr>
          <w:bCs/>
        </w:rPr>
        <w:t>koniecznością określenia właściwej procedury wyboru wykonawcy, Urzad Marszałkowski</w:t>
      </w:r>
      <w:r w:rsidRPr="00424228">
        <w:rPr>
          <w:bCs/>
        </w:rPr>
        <w:t xml:space="preserve"> zwraca się z prośbą do potencjalnych Wykonawców, o przesłanie informacji na temat </w:t>
      </w:r>
      <w:r w:rsidRPr="00776B82">
        <w:rPr>
          <w:b/>
          <w:bCs/>
        </w:rPr>
        <w:t>szacowanej wartości poniższego zamówienia.</w:t>
      </w:r>
    </w:p>
    <w:p w:rsidR="00424228" w:rsidRDefault="00424228" w:rsidP="001056D2">
      <w:pPr>
        <w:jc w:val="both"/>
        <w:rPr>
          <w:b/>
          <w:bCs/>
        </w:rPr>
      </w:pPr>
    </w:p>
    <w:p w:rsidR="001056D2" w:rsidRDefault="001056D2" w:rsidP="00E03209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DC65A9" w:rsidRDefault="00DC65A9" w:rsidP="00E03209">
      <w:pPr>
        <w:jc w:val="both"/>
        <w:rPr>
          <w:b/>
          <w:bCs/>
          <w:color w:val="FF0000"/>
          <w:u w:val="single"/>
        </w:rPr>
      </w:pPr>
    </w:p>
    <w:p w:rsidR="00CD707C" w:rsidRPr="002652CF" w:rsidRDefault="00CD707C" w:rsidP="00CD707C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/>
        </w:rPr>
      </w:pPr>
      <w:r w:rsidRPr="00CD707C">
        <w:rPr>
          <w:b/>
          <w:bCs/>
        </w:rPr>
        <w:t xml:space="preserve">przeprowadzenie renowacji oznakowania zachodniopomorskiej części Pomorskiej </w:t>
      </w:r>
      <w:r w:rsidR="00781D2D">
        <w:rPr>
          <w:b/>
          <w:bCs/>
        </w:rPr>
        <w:t>Drogi Świętego Jakuba na odcinkach</w:t>
      </w:r>
      <w:r w:rsidRPr="00CD707C">
        <w:rPr>
          <w:b/>
          <w:bCs/>
        </w:rPr>
        <w:t xml:space="preserve"> </w:t>
      </w:r>
      <w:r w:rsidR="002652CF">
        <w:rPr>
          <w:b/>
        </w:rPr>
        <w:t xml:space="preserve">Koszalin </w:t>
      </w:r>
      <w:r w:rsidR="002652CF" w:rsidRPr="00776B82">
        <w:rPr>
          <w:b/>
          <w:bCs/>
        </w:rPr>
        <w:t xml:space="preserve">– </w:t>
      </w:r>
      <w:r w:rsidR="002652CF">
        <w:rPr>
          <w:b/>
          <w:bCs/>
        </w:rPr>
        <w:t>Dobrzyca – Kołobrzeg</w:t>
      </w:r>
      <w:r w:rsidR="002652CF" w:rsidRPr="00776B82">
        <w:rPr>
          <w:b/>
          <w:bCs/>
        </w:rPr>
        <w:t xml:space="preserve"> </w:t>
      </w:r>
      <w:r w:rsidR="002652CF">
        <w:rPr>
          <w:b/>
          <w:bCs/>
        </w:rPr>
        <w:t>–</w:t>
      </w:r>
      <w:r w:rsidR="002652CF" w:rsidRPr="00776B82">
        <w:rPr>
          <w:b/>
          <w:bCs/>
        </w:rPr>
        <w:t xml:space="preserve"> </w:t>
      </w:r>
      <w:r w:rsidR="002652CF">
        <w:rPr>
          <w:b/>
          <w:bCs/>
        </w:rPr>
        <w:t>Trzebiatów – Kamień Pomorski</w:t>
      </w:r>
      <w:r w:rsidRPr="00CD707C">
        <w:rPr>
          <w:b/>
          <w:bCs/>
        </w:rPr>
        <w:t>, polegającej na odnowieniu i odświeżeniu oznakowania</w:t>
      </w:r>
      <w:r w:rsidR="002652CF">
        <w:rPr>
          <w:b/>
          <w:bCs/>
        </w:rPr>
        <w:t xml:space="preserve"> </w:t>
      </w:r>
      <w:r w:rsidRPr="00CD707C">
        <w:rPr>
          <w:b/>
          <w:bCs/>
        </w:rPr>
        <w:t xml:space="preserve">oraz w przypadku stwierdzenia przerwania ciągłości przebiegu szlaku, uzupełnienie oznakowania w sposób pozwalający na połączenie przerwanych odcinków szlaku. </w:t>
      </w:r>
    </w:p>
    <w:p w:rsidR="002652CF" w:rsidRPr="002652CF" w:rsidRDefault="002652CF" w:rsidP="002652CF">
      <w:pPr>
        <w:pStyle w:val="Akapitzlist"/>
        <w:numPr>
          <w:ilvl w:val="2"/>
          <w:numId w:val="3"/>
        </w:numPr>
        <w:tabs>
          <w:tab w:val="left" w:pos="1418"/>
        </w:tabs>
        <w:autoSpaceDE w:val="0"/>
        <w:autoSpaceDN w:val="0"/>
        <w:ind w:left="1134" w:firstLine="0"/>
        <w:jc w:val="both"/>
        <w:rPr>
          <w:rFonts w:asciiTheme="minorHAnsi" w:hAnsiTheme="minorHAnsi"/>
        </w:rPr>
      </w:pPr>
      <w:r w:rsidRPr="007E35FF">
        <w:rPr>
          <w:bCs/>
        </w:rPr>
        <w:t>Łąc</w:t>
      </w:r>
      <w:r>
        <w:rPr>
          <w:bCs/>
        </w:rPr>
        <w:t xml:space="preserve">zna długość szlaku do renowacji </w:t>
      </w:r>
      <w:r w:rsidRPr="002652CF">
        <w:rPr>
          <w:bCs/>
        </w:rPr>
        <w:t>wynosi łącznie 160 km</w:t>
      </w:r>
    </w:p>
    <w:p w:rsidR="002652CF" w:rsidRPr="002652CF" w:rsidRDefault="002652CF" w:rsidP="002652CF">
      <w:pPr>
        <w:pStyle w:val="Akapitzlist"/>
        <w:numPr>
          <w:ilvl w:val="2"/>
          <w:numId w:val="3"/>
        </w:numPr>
        <w:tabs>
          <w:tab w:val="left" w:pos="1418"/>
        </w:tabs>
        <w:autoSpaceDE w:val="0"/>
        <w:autoSpaceDN w:val="0"/>
        <w:ind w:left="1134" w:firstLine="0"/>
        <w:jc w:val="both"/>
        <w:rPr>
          <w:rFonts w:asciiTheme="minorHAnsi" w:hAnsiTheme="minorHAnsi"/>
        </w:rPr>
      </w:pPr>
      <w:r>
        <w:rPr>
          <w:bCs/>
        </w:rPr>
        <w:t xml:space="preserve">Szczegółowy przebieg </w:t>
      </w:r>
      <w:r w:rsidRPr="007E35FF">
        <w:rPr>
          <w:bCs/>
        </w:rPr>
        <w:t xml:space="preserve">znajduje się na </w:t>
      </w:r>
      <w:r>
        <w:rPr>
          <w:bCs/>
        </w:rPr>
        <w:t>wskazanych w p. 2 stronach internetowych</w:t>
      </w:r>
    </w:p>
    <w:p w:rsidR="002652CF" w:rsidRDefault="002652CF" w:rsidP="002652CF">
      <w:pPr>
        <w:pStyle w:val="Akapitzlist"/>
        <w:tabs>
          <w:tab w:val="left" w:pos="1418"/>
        </w:tabs>
        <w:autoSpaceDE w:val="0"/>
        <w:autoSpaceDN w:val="0"/>
        <w:ind w:left="1134"/>
        <w:jc w:val="both"/>
        <w:rPr>
          <w:bCs/>
        </w:rPr>
      </w:pPr>
      <w:r>
        <w:tab/>
      </w:r>
      <w:hyperlink w:history="1">
        <w:r w:rsidRPr="004F621A">
          <w:rPr>
            <w:rStyle w:val="Hipercze"/>
          </w:rPr>
          <w:t xml:space="preserve">https://www.przewodnik.pomorskadrogaswjakuba.pl </w:t>
        </w:r>
      </w:hyperlink>
      <w:r>
        <w:rPr>
          <w:bCs/>
        </w:rPr>
        <w:t xml:space="preserve"> </w:t>
      </w:r>
    </w:p>
    <w:p w:rsidR="002652CF" w:rsidRPr="002652CF" w:rsidRDefault="002652CF" w:rsidP="002652CF">
      <w:pPr>
        <w:pStyle w:val="Akapitzlist"/>
        <w:tabs>
          <w:tab w:val="left" w:pos="1418"/>
        </w:tabs>
        <w:autoSpaceDE w:val="0"/>
        <w:autoSpaceDN w:val="0"/>
        <w:ind w:left="1134"/>
        <w:jc w:val="both"/>
        <w:rPr>
          <w:rStyle w:val="Hipercze"/>
        </w:rPr>
      </w:pPr>
      <w:r w:rsidRPr="002652CF">
        <w:rPr>
          <w:rStyle w:val="Hipercze"/>
          <w:u w:val="none"/>
        </w:rPr>
        <w:tab/>
      </w:r>
      <w:hyperlink r:id="rId7" w:history="1">
        <w:r w:rsidRPr="002652CF">
          <w:rPr>
            <w:rStyle w:val="Hipercze"/>
          </w:rPr>
          <w:t>https://camino.net.pl/droga-w-polsce/droga-pomorska</w:t>
        </w:r>
      </w:hyperlink>
    </w:p>
    <w:p w:rsidR="002652CF" w:rsidRPr="006A669C" w:rsidRDefault="002652CF" w:rsidP="002652CF">
      <w:pPr>
        <w:pStyle w:val="Akapitzlist"/>
        <w:numPr>
          <w:ilvl w:val="2"/>
          <w:numId w:val="3"/>
        </w:numPr>
        <w:tabs>
          <w:tab w:val="left" w:pos="1418"/>
        </w:tabs>
        <w:autoSpaceDE w:val="0"/>
        <w:autoSpaceDN w:val="0"/>
        <w:ind w:left="1134" w:firstLine="0"/>
        <w:jc w:val="both"/>
        <w:rPr>
          <w:rFonts w:asciiTheme="minorHAnsi" w:hAnsiTheme="minorHAnsi"/>
        </w:rPr>
      </w:pPr>
      <w:r w:rsidRPr="002652CF">
        <w:rPr>
          <w:bCs/>
        </w:rPr>
        <w:t xml:space="preserve">Na wykonane w 2013 r. oznakowanie tego odcinka szlaku składają się </w:t>
      </w:r>
      <w:r w:rsidR="006A669C">
        <w:rPr>
          <w:bCs/>
        </w:rPr>
        <w:t xml:space="preserve">353 znaki: </w:t>
      </w:r>
      <w:r>
        <w:rPr>
          <w:bCs/>
        </w:rPr>
        <w:t xml:space="preserve"> </w:t>
      </w:r>
    </w:p>
    <w:tbl>
      <w:tblPr>
        <w:tblW w:w="694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</w:tblGrid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eastAsia="Calibri" w:hAnsi="Arial" w:cs="Arial"/>
                <w:sz w:val="20"/>
                <w:szCs w:val="20"/>
              </w:rPr>
              <w:t>Znaki malowane A1</w:t>
            </w: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17" w:type="dxa"/>
            <w:vMerge w:val="restart"/>
            <w:vAlign w:val="center"/>
          </w:tcPr>
          <w:p w:rsidR="006A669C" w:rsidRP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eastAsia="Calibri" w:hAnsi="Arial" w:cs="Arial"/>
                <w:sz w:val="20"/>
                <w:szCs w:val="20"/>
              </w:rPr>
              <w:t>Znaki malowane typu A2</w:t>
            </w: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6A669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6A669C" w:rsidRP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eastAsia="Calibri" w:hAnsi="Arial" w:cs="Arial"/>
                <w:sz w:val="20"/>
                <w:szCs w:val="20"/>
              </w:rPr>
              <w:t>Tabliczki metalowe B1</w:t>
            </w: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17" w:type="dxa"/>
            <w:vMerge w:val="restart"/>
            <w:vAlign w:val="center"/>
          </w:tcPr>
          <w:p w:rsidR="006A669C" w:rsidRP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eastAsia="Calibri" w:hAnsi="Arial" w:cs="Arial"/>
                <w:sz w:val="20"/>
                <w:szCs w:val="20"/>
              </w:rPr>
              <w:t>Tabliczki metalowe typu B2</w:t>
            </w: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:rsidR="006A669C" w:rsidRP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eastAsia="Calibri" w:hAnsi="Arial" w:cs="Arial"/>
                <w:sz w:val="20"/>
                <w:szCs w:val="20"/>
              </w:rPr>
              <w:t>Kierunkowskazy kierunkowe D</w:t>
            </w: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A66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6A669C" w:rsidRP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A669C" w:rsidRPr="006A669C" w:rsidTr="006A669C">
        <w:tc>
          <w:tcPr>
            <w:tcW w:w="4111" w:type="dxa"/>
            <w:shd w:val="clear" w:color="auto" w:fill="auto"/>
          </w:tcPr>
          <w:p w:rsidR="006A669C" w:rsidRPr="006A669C" w:rsidRDefault="006A669C" w:rsidP="006A66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669C" w:rsidRPr="006A669C" w:rsidRDefault="006A669C" w:rsidP="006A66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:rsidR="006A669C" w:rsidRDefault="006A669C" w:rsidP="006A669C">
            <w:pPr>
              <w:ind w:right="31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</w:tr>
    </w:tbl>
    <w:p w:rsidR="006A669C" w:rsidRPr="006A669C" w:rsidRDefault="002652CF" w:rsidP="006A669C">
      <w:pPr>
        <w:pStyle w:val="Akapitzlist"/>
        <w:tabs>
          <w:tab w:val="left" w:pos="1418"/>
        </w:tabs>
        <w:autoSpaceDE w:val="0"/>
        <w:autoSpaceDN w:val="0"/>
        <w:ind w:left="1134"/>
        <w:jc w:val="both"/>
        <w:rPr>
          <w:rFonts w:asciiTheme="minorHAnsi" w:hAnsiTheme="minorHAnsi"/>
        </w:rPr>
      </w:pPr>
      <w:r>
        <w:rPr>
          <w:bCs/>
        </w:rPr>
        <w:t xml:space="preserve">opis parametrów oznakowania </w:t>
      </w:r>
      <w:r w:rsidRPr="002652CF">
        <w:rPr>
          <w:bCs/>
        </w:rPr>
        <w:t>zawiera p. 3</w:t>
      </w:r>
      <w:r>
        <w:rPr>
          <w:bCs/>
        </w:rPr>
        <w:t xml:space="preserve"> </w:t>
      </w:r>
    </w:p>
    <w:p w:rsidR="006A669C" w:rsidRPr="006A669C" w:rsidRDefault="006A669C" w:rsidP="006A669C">
      <w:pPr>
        <w:pStyle w:val="Akapitzlist"/>
        <w:numPr>
          <w:ilvl w:val="2"/>
          <w:numId w:val="3"/>
        </w:numPr>
        <w:tabs>
          <w:tab w:val="left" w:pos="1418"/>
        </w:tabs>
        <w:autoSpaceDE w:val="0"/>
        <w:autoSpaceDN w:val="0"/>
        <w:ind w:left="1134" w:firstLine="0"/>
        <w:jc w:val="both"/>
        <w:rPr>
          <w:rFonts w:asciiTheme="minorHAnsi" w:hAnsiTheme="minorHAnsi"/>
        </w:rPr>
      </w:pPr>
      <w:r w:rsidRPr="006A669C">
        <w:rPr>
          <w:bCs/>
        </w:rPr>
        <w:t>liczba znaków może ulec zmianie np. ze względu na realizacje inwestycji drogowych:</w:t>
      </w:r>
    </w:p>
    <w:p w:rsidR="002652CF" w:rsidRPr="002652CF" w:rsidRDefault="002652CF" w:rsidP="002652CF">
      <w:pPr>
        <w:pStyle w:val="Akapitzlist"/>
        <w:numPr>
          <w:ilvl w:val="0"/>
          <w:numId w:val="3"/>
        </w:numPr>
        <w:autoSpaceDE w:val="0"/>
        <w:autoSpaceDN w:val="0"/>
        <w:ind w:left="851"/>
        <w:jc w:val="both"/>
        <w:rPr>
          <w:bCs/>
        </w:rPr>
      </w:pPr>
      <w:r w:rsidRPr="002652CF">
        <w:rPr>
          <w:bCs/>
        </w:rPr>
        <w:t xml:space="preserve">Weryfikacja śladów GPS (KML, GPX) przebiegu szlaku oraz wprowadzenie zmian aktualizacyjnych niezbędnych do ich zaciągnięcia na istniejące mapy </w:t>
      </w:r>
    </w:p>
    <w:p w:rsidR="002652CF" w:rsidRPr="002652CF" w:rsidRDefault="007E35FF" w:rsidP="002652C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7E35FF">
        <w:rPr>
          <w:b/>
          <w:bCs/>
        </w:rPr>
        <w:t>Parametry elementów oznakowania Szlaku:</w:t>
      </w:r>
      <w:r w:rsidR="002652CF" w:rsidRPr="002652CF">
        <w:rPr>
          <w:bCs/>
        </w:rPr>
        <w:t xml:space="preserve">  </w:t>
      </w:r>
    </w:p>
    <w:p w:rsidR="007E35FF" w:rsidRPr="007E35FF" w:rsidRDefault="007E35FF" w:rsidP="007E35FF">
      <w:pPr>
        <w:pStyle w:val="Akapitzlist"/>
        <w:autoSpaceDE w:val="0"/>
        <w:autoSpaceDN w:val="0"/>
        <w:jc w:val="both"/>
        <w:rPr>
          <w:b/>
          <w:bCs/>
        </w:rPr>
      </w:pPr>
    </w:p>
    <w:tbl>
      <w:tblPr>
        <w:tblW w:w="8471" w:type="dxa"/>
        <w:jc w:val="right"/>
        <w:tblInd w:w="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9"/>
        <w:gridCol w:w="186"/>
        <w:gridCol w:w="20"/>
        <w:gridCol w:w="1519"/>
        <w:gridCol w:w="466"/>
        <w:gridCol w:w="3651"/>
      </w:tblGrid>
      <w:tr w:rsidR="007E35FF" w:rsidTr="001F6D97">
        <w:trPr>
          <w:jc w:val="right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Symbol graficzny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wymiar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Opis oznakowania</w:t>
            </w:r>
          </w:p>
        </w:tc>
      </w:tr>
      <w:tr w:rsidR="007E35FF" w:rsidTr="002652CF">
        <w:trPr>
          <w:trHeight w:val="43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Oznakowanie malowane typu A </w:t>
            </w:r>
          </w:p>
        </w:tc>
      </w:tr>
      <w:tr w:rsidR="007E35FF" w:rsidTr="001F6D97">
        <w:trPr>
          <w:trHeight w:val="1548"/>
          <w:jc w:val="right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161925</wp:posOffset>
                  </wp:positionV>
                  <wp:extent cx="674370" cy="664210"/>
                  <wp:effectExtent l="0" t="0" r="0" b="2540"/>
                  <wp:wrapNone/>
                  <wp:docPr id="7" name="Obraz 7" descr="naklej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aklej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o wymiarach </w:t>
            </w:r>
            <w:r>
              <w:rPr>
                <w:rFonts w:cs="Arial"/>
                <w:sz w:val="20"/>
                <w:szCs w:val="20"/>
              </w:rPr>
              <w:br/>
              <w:t xml:space="preserve">15 x 15 cm </w:t>
            </w:r>
          </w:p>
        </w:tc>
        <w:tc>
          <w:tcPr>
            <w:tcW w:w="4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Tło niebieskie, muszla żółta,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biała obwódka o szerokości 1 cm </w:t>
            </w:r>
            <w:r>
              <w:rPr>
                <w:rFonts w:cs="Arial"/>
                <w:sz w:val="20"/>
                <w:szCs w:val="20"/>
              </w:rPr>
              <w:br/>
              <w:t>wchodzi w wymiar oznakowania</w:t>
            </w:r>
            <w:r>
              <w:rPr>
                <w:rFonts w:cs="Arial"/>
                <w:sz w:val="20"/>
                <w:szCs w:val="20"/>
              </w:rPr>
              <w:br/>
              <w:t>grot o szerokości 5 cm w kolorze białym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1F6D97">
        <w:trPr>
          <w:trHeight w:val="1399"/>
          <w:jc w:val="right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99695</wp:posOffset>
                  </wp:positionV>
                  <wp:extent cx="923925" cy="721995"/>
                  <wp:effectExtent l="0" t="0" r="9525" b="1905"/>
                  <wp:wrapNone/>
                  <wp:docPr id="4" name="Obraz 4" descr="naklejka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aklejka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FF" w:rsidRDefault="007E35F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</w:t>
            </w:r>
            <w:r>
              <w:rPr>
                <w:rFonts w:cs="Arial"/>
                <w:sz w:val="20"/>
                <w:szCs w:val="20"/>
              </w:rPr>
              <w:br/>
              <w:t xml:space="preserve">o wymiarach 15x15 cm </w:t>
            </w:r>
            <w:r>
              <w:rPr>
                <w:rFonts w:cs="Arial"/>
                <w:sz w:val="20"/>
                <w:szCs w:val="20"/>
              </w:rPr>
              <w:br/>
              <w:t>+ grot 5 cm</w:t>
            </w:r>
          </w:p>
        </w:tc>
        <w:tc>
          <w:tcPr>
            <w:tcW w:w="4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1F6D97">
        <w:trPr>
          <w:trHeight w:val="126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Miejsce zastosowania: </w:t>
            </w:r>
            <w:r>
              <w:rPr>
                <w:rFonts w:cs="Arial"/>
                <w:sz w:val="20"/>
                <w:szCs w:val="20"/>
              </w:rPr>
              <w:t xml:space="preserve">drzewa oraz słupy energetyczne i telekomunikacyjne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(tam gdzie są zezwolenia)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Sposób wykonania: 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Znaki: wykonane w trzech warstwach: biały podkładowy, niebieski, żółta muszla</w:t>
            </w:r>
            <w:r w:rsidR="002652CF">
              <w:rPr>
                <w:rFonts w:cs="Arial"/>
                <w:sz w:val="20"/>
                <w:szCs w:val="20"/>
              </w:rPr>
              <w:t xml:space="preserve"> – oznakowanie musi być estetyczne,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Szablony: wycięte za pomocą plotera (nie dopuszcza się ręcznego wycinania szablonów)</w:t>
            </w:r>
            <w:r w:rsidR="002652CF">
              <w:rPr>
                <w:rFonts w:cs="Arial"/>
                <w:sz w:val="20"/>
                <w:szCs w:val="20"/>
              </w:rPr>
              <w:t>,</w:t>
            </w:r>
          </w:p>
          <w:p w:rsidR="007E35FF" w:rsidRDefault="007E35F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Farby: spray oparty na formule </w:t>
            </w:r>
            <w:proofErr w:type="spellStart"/>
            <w:r>
              <w:rPr>
                <w:rFonts w:cs="Arial"/>
                <w:sz w:val="20"/>
                <w:szCs w:val="20"/>
              </w:rPr>
              <w:t>nitro-combination</w:t>
            </w:r>
            <w:proofErr w:type="spellEnd"/>
            <w:r>
              <w:rPr>
                <w:rFonts w:cs="Arial"/>
                <w:sz w:val="20"/>
                <w:szCs w:val="20"/>
              </w:rPr>
              <w:t>, zapewniającej wysokie pokrycie – brak przenikania koloru z niższej warstwy, krótki czas schnięcia, dokładność - brak zaciekania farby, matowe wykończenie,  wysokiej jakości, bezpieczne dla zdrowia i przyjazne dla środowiska, odporność na różne warunki atmosferyczne (słońce, deszcz). Zastosowana metoda znakowania nie może mieć negatywnego wpływu na drzewa, na których będzie stosowana.</w:t>
            </w:r>
          </w:p>
        </w:tc>
      </w:tr>
      <w:tr w:rsidR="007E35FF" w:rsidTr="002652CF">
        <w:trPr>
          <w:trHeight w:val="43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Oznakowanie tabliczki typu B</w:t>
            </w:r>
          </w:p>
        </w:tc>
      </w:tr>
      <w:tr w:rsidR="007E35FF" w:rsidTr="001F6D97">
        <w:trPr>
          <w:trHeight w:val="1399"/>
          <w:jc w:val="right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101600</wp:posOffset>
                  </wp:positionV>
                  <wp:extent cx="665480" cy="708660"/>
                  <wp:effectExtent l="0" t="0" r="1270" b="0"/>
                  <wp:wrapNone/>
                  <wp:docPr id="3" name="Obraz 3" descr="podstawowy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dstawowy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 wymiarach </w:t>
            </w:r>
            <w:r>
              <w:rPr>
                <w:rFonts w:cs="Arial"/>
                <w:sz w:val="20"/>
                <w:szCs w:val="20"/>
              </w:rPr>
              <w:br/>
              <w:t>15 x 15 cm</w:t>
            </w:r>
          </w:p>
        </w:tc>
        <w:tc>
          <w:tcPr>
            <w:tcW w:w="4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Tło niebieskie, muszla żółta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biała obwódka o szerokości 1 cm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wchodzi w wymiar oznakowania</w:t>
            </w:r>
            <w:r>
              <w:rPr>
                <w:rFonts w:cs="Arial"/>
                <w:sz w:val="20"/>
                <w:szCs w:val="20"/>
              </w:rPr>
              <w:br/>
              <w:t>grot o szerokości 5 cm w kolorze białym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bocznej  części znaku napis </w:t>
            </w:r>
            <w:r>
              <w:rPr>
                <w:rFonts w:cs="Arial"/>
                <w:sz w:val="20"/>
                <w:szCs w:val="20"/>
              </w:rPr>
              <w:br/>
              <w:t xml:space="preserve">„Pomorska Droga Świętego Jakuba” </w:t>
            </w:r>
          </w:p>
          <w:p w:rsidR="007E35FF" w:rsidRDefault="007E3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odwrocie nadruk lub naklejka z logo Projektu, logo UE, programu Południowy Bałtyk i herb Województwa Zachodniopomorskiego</w:t>
            </w:r>
          </w:p>
        </w:tc>
      </w:tr>
      <w:tr w:rsidR="007E35FF" w:rsidTr="001F6D97">
        <w:trPr>
          <w:trHeight w:val="1399"/>
          <w:jc w:val="right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line="12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83820</wp:posOffset>
                  </wp:positionV>
                  <wp:extent cx="934720" cy="709295"/>
                  <wp:effectExtent l="0" t="0" r="0" b="0"/>
                  <wp:wrapTight wrapText="bothSides">
                    <wp:wrapPolygon edited="0">
                      <wp:start x="0" y="0"/>
                      <wp:lineTo x="0" y="20885"/>
                      <wp:lineTo x="21130" y="20885"/>
                      <wp:lineTo x="21130" y="0"/>
                      <wp:lineTo x="0" y="0"/>
                    </wp:wrapPolygon>
                  </wp:wrapTight>
                  <wp:docPr id="2" name="Obraz 2" descr="naklejka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klejka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709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kwadrat o wymiarach </w:t>
            </w:r>
            <w:r>
              <w:rPr>
                <w:rFonts w:cs="Arial"/>
                <w:sz w:val="20"/>
                <w:szCs w:val="20"/>
              </w:rPr>
              <w:br/>
              <w:t>15 x 15 cm</w:t>
            </w:r>
            <w:r>
              <w:rPr>
                <w:rFonts w:cs="Arial"/>
                <w:sz w:val="20"/>
                <w:szCs w:val="20"/>
              </w:rPr>
              <w:br/>
              <w:t>+ grot 5 cm</w:t>
            </w:r>
          </w:p>
        </w:tc>
        <w:tc>
          <w:tcPr>
            <w:tcW w:w="4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FF" w:rsidRDefault="007E35FF">
            <w:pPr>
              <w:rPr>
                <w:rFonts w:cs="Arial"/>
                <w:sz w:val="20"/>
                <w:szCs w:val="20"/>
              </w:rPr>
            </w:pPr>
          </w:p>
        </w:tc>
      </w:tr>
      <w:tr w:rsidR="007E35FF" w:rsidTr="002652CF">
        <w:trPr>
          <w:trHeight w:val="1399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FF" w:rsidRDefault="007E35FF">
            <w:pPr>
              <w:pStyle w:val="NormalnyWeb"/>
              <w:spacing w:before="12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Miejsce zastosowania: </w:t>
            </w:r>
            <w:r>
              <w:rPr>
                <w:rFonts w:ascii="Calibri" w:hAnsi="Calibri" w:cs="Arial"/>
                <w:sz w:val="20"/>
                <w:szCs w:val="20"/>
              </w:rPr>
              <w:t xml:space="preserve">słupy energetyczne, lampy, znaki drogowe, słupki SIM (systemu identyfikacji miejskiej, tam gdzie wydano takie zgody)  </w:t>
            </w:r>
          </w:p>
          <w:p w:rsidR="007E35F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Sposób wykonania: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652CF" w:rsidRDefault="007E35F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Wykonawca w ramach realizacji zadania dokona uzupełnienia naklejek na tabliczkach, na których stwierdzony zostanie ich brak. Naklejki muszą być przygotowane przez Wykonawcę renowacji oznakowania szlaku z zastosowaniem poniższych parametrów: </w:t>
            </w:r>
          </w:p>
          <w:p w:rsidR="002652CF" w:rsidRDefault="007E35FF" w:rsidP="002652CF">
            <w:pPr>
              <w:pStyle w:val="Akapitzlist"/>
              <w:numPr>
                <w:ilvl w:val="0"/>
                <w:numId w:val="17"/>
              </w:numPr>
              <w:ind w:left="601" w:hanging="357"/>
              <w:jc w:val="both"/>
              <w:rPr>
                <w:rFonts w:cs="Arial"/>
                <w:sz w:val="20"/>
                <w:szCs w:val="20"/>
              </w:rPr>
            </w:pPr>
            <w:r w:rsidRPr="002652CF">
              <w:rPr>
                <w:rFonts w:cs="Arial"/>
                <w:sz w:val="20"/>
                <w:szCs w:val="20"/>
              </w:rPr>
              <w:t xml:space="preserve">lico tabliczki z nadrukiem oznakowania powinno być wykonane z folii odpornej na promieniowanie UV, temperaturę, odbarwienia, warunki atmosferyczne oraz występujące w normalnych warunkach oddziaływania chemiczne. </w:t>
            </w:r>
          </w:p>
          <w:p w:rsidR="007E35FF" w:rsidRPr="002652CF" w:rsidRDefault="002652CF" w:rsidP="002652CF">
            <w:pPr>
              <w:pStyle w:val="Akapitzlist"/>
              <w:numPr>
                <w:ilvl w:val="0"/>
                <w:numId w:val="17"/>
              </w:numPr>
              <w:ind w:left="601" w:hanging="357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7E35FF" w:rsidRPr="002652CF">
              <w:rPr>
                <w:rFonts w:cs="Arial"/>
                <w:sz w:val="20"/>
                <w:szCs w:val="20"/>
              </w:rPr>
              <w:t xml:space="preserve">od żadnym pozorem nie można stosować folii o odblaskowym licu. </w:t>
            </w:r>
          </w:p>
          <w:p w:rsidR="002652CF" w:rsidRDefault="002652CF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Zapasowe tabliczki skrętowe (z grotem) w ilości 30 szt. znajdują się w zasobach Zamawiającego, konieczna jest jednak wymiana naklejek oraz zabezpieczenie nierdzewnej taśmy stalowej oraz gumowych podkładek do ich montażu, tam, gdzie będzie istniała konieczność uzupełnienia oznakowania.</w:t>
            </w:r>
          </w:p>
          <w:p w:rsidR="007E35FF" w:rsidRDefault="007E35FF">
            <w:pPr>
              <w:pStyle w:val="NormalnyWeb"/>
              <w:spacing w:before="120" w:beforeAutospacing="0" w:after="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Sposób montażu: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tabliczki montowane za pomocą nierdzewnej taśmy stalowej o szerokości nie mniejszej niż 10 mm i grubości nie mniejszej niż 0,5 mm poprzez zaciśnięcie taśmy na obwodzie w sposób pozwalający na stabilne i trwałe umieszczenie oznakowania, w niektórych przypadkach we wskazanych przez zarządcę miejscach konieczne jest dodatkowo pod obejmą umieszczenie opaski gumowej.</w:t>
            </w:r>
          </w:p>
          <w:p w:rsidR="007E35FF" w:rsidRDefault="007E35FF">
            <w:pPr>
              <w:pStyle w:val="NormalnyWeb"/>
              <w:spacing w:before="240" w:beforeAutospacing="0" w:after="120" w:afterAutospacing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Zamawiający dopuszcza zastosowanie innych materiałów o porównywalnych lub lepszych parametrach technicznych oraz co najmniej tej samej trwałości – pod warunkiem uzyskania pisemnej zgody Zamawiającego.</w:t>
            </w:r>
          </w:p>
        </w:tc>
      </w:tr>
      <w:tr w:rsidR="001F6D97" w:rsidTr="002652CF">
        <w:trPr>
          <w:trHeight w:val="43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97" w:rsidRPr="001F6D97" w:rsidRDefault="001F6D97" w:rsidP="001F6D97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1F6D97">
              <w:rPr>
                <w:rFonts w:cs="Arial"/>
                <w:b/>
                <w:sz w:val="20"/>
                <w:szCs w:val="20"/>
              </w:rPr>
              <w:t>KIERUNKOWSKAZY - D</w:t>
            </w:r>
          </w:p>
        </w:tc>
      </w:tr>
      <w:tr w:rsidR="001F6D97" w:rsidTr="001F6D97">
        <w:trPr>
          <w:trHeight w:val="436"/>
          <w:jc w:val="right"/>
        </w:trPr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97" w:rsidRDefault="001F6D9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580953" cy="582857"/>
                  <wp:effectExtent l="19050" t="0" r="197" b="0"/>
                  <wp:docPr id="8" name="Obraz 1" descr="kierunkowsk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erunkowsk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953" cy="582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97" w:rsidRPr="001F6D97" w:rsidRDefault="001F6D97" w:rsidP="001F6D97">
            <w:pPr>
              <w:spacing w:before="120"/>
              <w:rPr>
                <w:rFonts w:cs="Arial"/>
                <w:sz w:val="20"/>
                <w:szCs w:val="20"/>
              </w:rPr>
            </w:pPr>
            <w:r w:rsidRPr="001F6D97">
              <w:rPr>
                <w:rFonts w:cs="Arial"/>
                <w:sz w:val="20"/>
                <w:szCs w:val="20"/>
              </w:rPr>
              <w:t xml:space="preserve">długość </w:t>
            </w:r>
            <w:smartTag w:uri="urn:schemas-microsoft-com:office:smarttags" w:element="metricconverter">
              <w:smartTagPr>
                <w:attr w:name="ProductID" w:val="450 mm"/>
              </w:smartTagPr>
              <w:r w:rsidRPr="001F6D97">
                <w:rPr>
                  <w:rFonts w:cs="Arial"/>
                  <w:sz w:val="20"/>
                  <w:szCs w:val="20"/>
                </w:rPr>
                <w:t>450 mm</w:t>
              </w:r>
            </w:smartTag>
            <w:r w:rsidRPr="001F6D97">
              <w:rPr>
                <w:rFonts w:cs="Arial"/>
                <w:sz w:val="20"/>
                <w:szCs w:val="20"/>
              </w:rPr>
              <w:t xml:space="preserve">, wysokość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1F6D97">
                <w:rPr>
                  <w:rFonts w:cs="Arial"/>
                  <w:sz w:val="20"/>
                  <w:szCs w:val="20"/>
                </w:rPr>
                <w:t>150 mm</w:t>
              </w:r>
            </w:smartTag>
            <w:r w:rsidRPr="001F6D97">
              <w:rPr>
                <w:rFonts w:cs="Arial"/>
                <w:sz w:val="20"/>
                <w:szCs w:val="20"/>
              </w:rPr>
              <w:t xml:space="preserve">, szerokość grotu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1F6D97">
                <w:rPr>
                  <w:rFonts w:cs="Arial"/>
                  <w:sz w:val="20"/>
                  <w:szCs w:val="20"/>
                </w:rPr>
                <w:t>110 mm</w:t>
              </w:r>
            </w:smartTag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97" w:rsidRDefault="001F6D97" w:rsidP="001F6D9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Tło białe, niebieskie napisy, </w:t>
            </w:r>
          </w:p>
          <w:p w:rsidR="001F6D97" w:rsidRDefault="001F6D97" w:rsidP="001F6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1F6D97" w:rsidTr="002652CF">
        <w:trPr>
          <w:trHeight w:val="43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97" w:rsidRDefault="001F6D97" w:rsidP="006A669C">
            <w:pPr>
              <w:jc w:val="both"/>
              <w:rPr>
                <w:rFonts w:cs="Arial"/>
                <w:sz w:val="20"/>
                <w:szCs w:val="20"/>
              </w:rPr>
            </w:pPr>
            <w:r w:rsidRPr="001F6D97">
              <w:rPr>
                <w:rFonts w:cs="Arial"/>
                <w:sz w:val="20"/>
                <w:szCs w:val="20"/>
              </w:rPr>
              <w:t>Kierunkowskazy określające kilometry do najbliższych miejscowości i do Santiago de Compostela</w:t>
            </w:r>
          </w:p>
          <w:p w:rsidR="001F6D97" w:rsidRDefault="001F6D97" w:rsidP="006A669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F6D97" w:rsidRDefault="001F6D97" w:rsidP="006A669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Miejsce zastosowania: </w:t>
            </w:r>
            <w:r>
              <w:rPr>
                <w:rFonts w:cs="Arial"/>
                <w:sz w:val="20"/>
                <w:szCs w:val="20"/>
              </w:rPr>
              <w:t>Rozwidlenia Pomorskiej Drogi św. Jakuba – droga główna i droga alternatywna.</w:t>
            </w:r>
          </w:p>
          <w:p w:rsidR="001F6D97" w:rsidRDefault="001F6D97" w:rsidP="001F6D97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Sposób wykonania i montażu: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F6D97" w:rsidRPr="001F6D97" w:rsidRDefault="001F6D97" w:rsidP="001F6D97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Wykonawca dokona wymiany naklejek na istniejących tabliczkach – kie</w:t>
            </w:r>
            <w:r w:rsidRPr="001F6D97">
              <w:rPr>
                <w:rFonts w:cs="Arial"/>
                <w:sz w:val="20"/>
                <w:szCs w:val="20"/>
              </w:rPr>
              <w:t>runkowskaz</w:t>
            </w:r>
            <w:r>
              <w:rPr>
                <w:rFonts w:cs="Arial"/>
                <w:sz w:val="20"/>
                <w:szCs w:val="20"/>
              </w:rPr>
              <w:t xml:space="preserve">ach lub w przypadku ich braku instalacji nowych – </w:t>
            </w:r>
            <w:r w:rsidRPr="001F6D97">
              <w:rPr>
                <w:rFonts w:cs="Arial"/>
                <w:sz w:val="20"/>
                <w:szCs w:val="20"/>
              </w:rPr>
              <w:t>powi</w:t>
            </w:r>
            <w:r>
              <w:rPr>
                <w:rFonts w:cs="Arial"/>
                <w:sz w:val="20"/>
                <w:szCs w:val="20"/>
              </w:rPr>
              <w:t xml:space="preserve">nny </w:t>
            </w:r>
            <w:r w:rsidRPr="001F6D97">
              <w:rPr>
                <w:rFonts w:cs="Arial"/>
                <w:sz w:val="20"/>
                <w:szCs w:val="20"/>
              </w:rPr>
              <w:t xml:space="preserve">być wykonany z blachy nierdzewnej o grubości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1F6D97">
                <w:rPr>
                  <w:rFonts w:cs="Arial"/>
                  <w:sz w:val="20"/>
                  <w:szCs w:val="20"/>
                </w:rPr>
                <w:t>3 mm</w:t>
              </w:r>
            </w:smartTag>
            <w:r w:rsidRPr="001F6D97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n</w:t>
            </w:r>
            <w:r w:rsidRPr="001F6D97">
              <w:rPr>
                <w:rFonts w:cs="Arial"/>
                <w:sz w:val="20"/>
                <w:szCs w:val="20"/>
              </w:rPr>
              <w:t xml:space="preserve">adruk na folii odpornej na promieniowanie UV oraz odbarwianie. Całość powinna być dodatkowo </w:t>
            </w:r>
            <w:proofErr w:type="spellStart"/>
            <w:r w:rsidRPr="001F6D97">
              <w:rPr>
                <w:rFonts w:cs="Arial"/>
                <w:sz w:val="20"/>
                <w:szCs w:val="20"/>
              </w:rPr>
              <w:t>zalaminowana</w:t>
            </w:r>
            <w:proofErr w:type="spellEnd"/>
            <w:r w:rsidRPr="001F6D97">
              <w:rPr>
                <w:rFonts w:cs="Arial"/>
                <w:sz w:val="20"/>
                <w:szCs w:val="20"/>
              </w:rPr>
              <w:t xml:space="preserve">. Kierunkowskazy </w:t>
            </w:r>
            <w:r>
              <w:rPr>
                <w:rFonts w:cs="Arial"/>
                <w:sz w:val="20"/>
                <w:szCs w:val="20"/>
              </w:rPr>
              <w:t xml:space="preserve">zamontowane powinny być </w:t>
            </w:r>
            <w:r w:rsidRPr="001F6D97">
              <w:rPr>
                <w:rFonts w:cs="Arial"/>
                <w:sz w:val="20"/>
                <w:szCs w:val="20"/>
              </w:rPr>
              <w:t xml:space="preserve">za pomocą obejm lub taśmy </w:t>
            </w:r>
            <w:proofErr w:type="spellStart"/>
            <w:r w:rsidRPr="001F6D97">
              <w:rPr>
                <w:rFonts w:cs="Arial"/>
                <w:sz w:val="20"/>
                <w:szCs w:val="20"/>
              </w:rPr>
              <w:t>Bandimex</w:t>
            </w:r>
            <w:proofErr w:type="spellEnd"/>
            <w:r w:rsidRPr="001F6D97">
              <w:rPr>
                <w:rFonts w:cs="Arial"/>
                <w:sz w:val="20"/>
                <w:szCs w:val="20"/>
              </w:rPr>
              <w:t xml:space="preserve">. Wskazane jest aby posiadały otwory montażowe ułatwiające montaż kierunkowskazu </w:t>
            </w:r>
            <w:r>
              <w:rPr>
                <w:rFonts w:cs="Arial"/>
                <w:sz w:val="20"/>
                <w:szCs w:val="20"/>
              </w:rPr>
              <w:t xml:space="preserve">np. </w:t>
            </w:r>
            <w:r w:rsidRPr="001F6D97">
              <w:rPr>
                <w:rFonts w:cs="Arial"/>
                <w:sz w:val="20"/>
                <w:szCs w:val="20"/>
              </w:rPr>
              <w:t>na drewnianym słupku</w:t>
            </w:r>
            <w:r>
              <w:rPr>
                <w:rFonts w:cs="Arial"/>
                <w:sz w:val="20"/>
                <w:szCs w:val="20"/>
              </w:rPr>
              <w:t xml:space="preserve"> (w zależności od stwierdzonych w terenie potrzeb).</w:t>
            </w:r>
          </w:p>
        </w:tc>
      </w:tr>
      <w:tr w:rsidR="001F6D97" w:rsidTr="002652CF">
        <w:trPr>
          <w:trHeight w:val="436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97" w:rsidRDefault="001F6D97" w:rsidP="001F6D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BRAK INFRASTRUKTURY</w:t>
            </w:r>
          </w:p>
        </w:tc>
      </w:tr>
      <w:tr w:rsidR="001F6D97" w:rsidTr="002652CF">
        <w:trPr>
          <w:trHeight w:val="1399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97" w:rsidRDefault="001F6D97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0D6C73">
              <w:rPr>
                <w:rFonts w:cs="Arial"/>
                <w:sz w:val="20"/>
                <w:szCs w:val="20"/>
              </w:rPr>
              <w:t xml:space="preserve">W </w:t>
            </w:r>
            <w:r>
              <w:rPr>
                <w:rFonts w:cs="Arial"/>
                <w:sz w:val="20"/>
                <w:szCs w:val="20"/>
              </w:rPr>
              <w:t xml:space="preserve">przypadku jeśli </w:t>
            </w:r>
            <w:r w:rsidRPr="000D6C73">
              <w:rPr>
                <w:rFonts w:cs="Arial"/>
                <w:sz w:val="20"/>
                <w:szCs w:val="20"/>
              </w:rPr>
              <w:t xml:space="preserve">ze względu na konieczność oznakowania w miejscu, gdzie nie ma żadnej infrastruktury </w:t>
            </w:r>
            <w:r>
              <w:rPr>
                <w:rFonts w:cs="Arial"/>
                <w:sz w:val="20"/>
                <w:szCs w:val="20"/>
              </w:rPr>
              <w:t xml:space="preserve">konieczne może być zamontowanie </w:t>
            </w:r>
            <w:r w:rsidRPr="000D6C73">
              <w:rPr>
                <w:rFonts w:cs="Arial"/>
                <w:sz w:val="20"/>
                <w:szCs w:val="20"/>
              </w:rPr>
              <w:t xml:space="preserve">słupka na którym należy zamontować oznakowanie w formie tabliczek. Montaż oznakowania w takim przypadku może być wykonany poprzez przykręcenie tabliczki na obejmie lub za pomocą </w:t>
            </w:r>
            <w:r>
              <w:rPr>
                <w:rFonts w:cs="Arial"/>
                <w:sz w:val="20"/>
                <w:szCs w:val="20"/>
              </w:rPr>
              <w:t xml:space="preserve">nierdzewnej taśmy stalowej o szerokości nie mniejszej niż 19 mm i grubości nie mniejszej niż 1,2 mm poprzez zaciśnięcie taśmy na obwodzie w sposób pozwalający na stabilne i trwałe umieszczenie oznakowania. Słupek powinien mieć wysokość minimum 2,35 metra w pasach dróg publicznych zaś poza nimi minimum 1,80 metra. Grubość słupka powinna wynosić min. 6 cm. </w:t>
            </w:r>
          </w:p>
          <w:p w:rsidR="001F6D97" w:rsidRDefault="001F6D97">
            <w:pPr>
              <w:spacing w:before="120"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Słupki drewniane muszą być zaimpregnowane aby zabezpieczyć je przed wilgocią oraz muszą być zabezpieczone chemicznie przed próbami podpalenia.  Minimalna głębokość wkopania słupka – 0,7 metra. Otwór w którym umieszczono drewniany słupek, należy zabezpieczyć, tak aby utrudnić jego wywrócenie/wyjęcie itp.</w:t>
            </w:r>
          </w:p>
        </w:tc>
      </w:tr>
      <w:tr w:rsidR="001F6D97" w:rsidTr="001F6D97">
        <w:trPr>
          <w:trHeight w:val="301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97" w:rsidRPr="000D6C73" w:rsidRDefault="001F6D97" w:rsidP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KOLORY</w:t>
            </w:r>
          </w:p>
        </w:tc>
      </w:tr>
      <w:tr w:rsidR="001F6D97" w:rsidTr="006A669C">
        <w:trPr>
          <w:trHeight w:val="1399"/>
          <w:jc w:val="right"/>
        </w:trPr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B866C1" w:rsidRDefault="00B866C1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</w:p>
          <w:p w:rsidR="001F6D97" w:rsidRDefault="001F6D97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margin">
                    <wp:posOffset>678180</wp:posOffset>
                  </wp:positionH>
                  <wp:positionV relativeFrom="margin">
                    <wp:posOffset>20955</wp:posOffset>
                  </wp:positionV>
                  <wp:extent cx="3296285" cy="1403350"/>
                  <wp:effectExtent l="19050" t="0" r="0" b="0"/>
                  <wp:wrapSquare wrapText="bothSides"/>
                  <wp:docPr id="10" name="Obraz 1" descr="RECReate kol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CReate kol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285" cy="140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0464" w:rsidRDefault="006E0464" w:rsidP="006E0464">
      <w:pPr>
        <w:ind w:left="851"/>
        <w:rPr>
          <w:rFonts w:asciiTheme="minorHAnsi" w:hAnsiTheme="minorHAnsi"/>
        </w:rPr>
      </w:pPr>
    </w:p>
    <w:p w:rsidR="002652CF" w:rsidRDefault="002652CF" w:rsidP="002652C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2652CF">
        <w:rPr>
          <w:bCs/>
        </w:rPr>
        <w:t>Rodzaj oznakowania (tabliczka, znak malowany, słupek) zastosowany w dotychczasowych miejscach podczas renowacji może być</w:t>
      </w:r>
      <w:r>
        <w:rPr>
          <w:bCs/>
        </w:rPr>
        <w:t xml:space="preserve"> zmieniony, w zależności od aktualnych potrzeb. </w:t>
      </w:r>
    </w:p>
    <w:p w:rsidR="002652CF" w:rsidRDefault="002652CF" w:rsidP="002652C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2652CF">
        <w:rPr>
          <w:bCs/>
        </w:rPr>
        <w:t>Wymiary oznako</w:t>
      </w:r>
      <w:r>
        <w:rPr>
          <w:bCs/>
        </w:rPr>
        <w:t xml:space="preserve">wania aktualizacyjnego, w przypadku wykorzystania naklejek na istniejącej infrastrukturze może </w:t>
      </w:r>
      <w:r w:rsidRPr="002652CF">
        <w:rPr>
          <w:bCs/>
        </w:rPr>
        <w:t>być mniejsze o nie więcej niż 10%</w:t>
      </w:r>
      <w:r>
        <w:rPr>
          <w:bCs/>
        </w:rPr>
        <w:t>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 przypadku przerwania ciągłości szlaku i konieczności jego uzupełnienia niezbędne jest dokonanie stosownych uzgodnień (oznakowanie szlaku w roku 2013 poprzedzone było uzgodnieniami, w formie porozumienia, z właścicielami lub zarządcami dróg, gruntów i</w:t>
      </w:r>
      <w:r w:rsidR="00776B82">
        <w:rPr>
          <w:bCs/>
        </w:rPr>
        <w:t> </w:t>
      </w:r>
      <w:r w:rsidRPr="007E35FF">
        <w:rPr>
          <w:bCs/>
        </w:rPr>
        <w:t>infrastruktury lub drzew wykorzystywanych do umieszczenia oznakowania) oraz tam gdzie będzie to konieczne, kasacji zbędnych punktów oznakowania.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Podczas prac renowacyjnych Wykonawca zrealizuje zadanie zgodnie z przyjętymi standardami oraz obowiązującymi przepisami prawa.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Przy wykonywaniu prac Wykonawca będzie stosować materiały i urządzenia dopuszczone do obrotu i stosowania, posiadające stosowane aprobaty, certyfikaty i atesty.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Zamawiający dopuszcza zastosowanie innych niż wymienione w zestawieniu materiały, jednak spełniać one muszą porównywalne lub lepsze parametry techniczne oraz muszą posiadać co najmniej ten sam okres trwałości. Zmiany te muszą uzyskać pisemną zgodę Zamawiającego.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lastRenderedPageBreak/>
        <w:t>Wykonawca udzieli co najmniej pięcioletniej gwarancji na zastosowane materiały i technologie.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Przed realizacją zadania Wykonawca zapozna się ze szczegółowymi wymogami dotyczącymi warunków oznakowania udzielonymi przez poszczególnych zarządców dróg i infrastruktury i zawartych w udzielonych przez nich pozwoleniach. 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Zleceniodawca udostępni Wykonawcy: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warstwy wektorowe przebiegu szlaku z tabelą atrybutów oraz materiałem fotograficznym</w:t>
      </w:r>
      <w:r>
        <w:rPr>
          <w:bCs/>
        </w:rPr>
        <w:t>,</w:t>
      </w:r>
    </w:p>
    <w:p w:rsidR="007E35FF" w:rsidRPr="007E35FF" w:rsidRDefault="002652C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>
        <w:rPr>
          <w:bCs/>
        </w:rPr>
        <w:t xml:space="preserve">warstwy wektorowe </w:t>
      </w:r>
      <w:r w:rsidR="007E35FF" w:rsidRPr="007E35FF">
        <w:rPr>
          <w:bCs/>
        </w:rPr>
        <w:t xml:space="preserve">oznakowania szlaku z tabelą atrybutów zawierającą: ID miejsca oznakowania, miejsce lokalizacji oznakowania, wskazanie infrastruktury na której </w:t>
      </w:r>
      <w:r w:rsidR="00FB461C">
        <w:rPr>
          <w:bCs/>
        </w:rPr>
        <w:t>zostało w 2013 r. wykonane oznakowanie</w:t>
      </w:r>
      <w:r w:rsidR="007E35FF" w:rsidRPr="007E35FF">
        <w:rPr>
          <w:bCs/>
        </w:rPr>
        <w:t>, współrzędne GPS, informacje o</w:t>
      </w:r>
      <w:r w:rsidR="00776B82">
        <w:rPr>
          <w:bCs/>
        </w:rPr>
        <w:t> </w:t>
      </w:r>
      <w:r w:rsidR="007E35FF" w:rsidRPr="007E35FF">
        <w:rPr>
          <w:bCs/>
        </w:rPr>
        <w:t>właścicielu/zarządcy infrastruktury oraz materiał fotograficzny</w:t>
      </w:r>
      <w:r w:rsidR="007E35FF"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opisową dokumentację techniczną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dokumentację dotyczącą uzgodnień na przebieg i oznakowanie Szlaku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raport z przeprowadzonego w ro</w:t>
      </w:r>
      <w:r>
        <w:rPr>
          <w:bCs/>
        </w:rPr>
        <w:t>ku 2015 monitoringu.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 uzasadnionych przypadkach Zleceniodawca dopuszcza dokonanie korekty przebiegu Szlaku, jeżeli będzie miało to pozytywny wpływ na jego wartość i bezpieczeństwo turystów. W takiej sytuacji dokonujący korekty zobowiązany jest do przeprowadzenia stosownych uzgodnień z właściwymi instytucjami (zarządcami gruntów, dróg, czy infrastruktury) w</w:t>
      </w:r>
      <w:r w:rsidR="00776B82">
        <w:rPr>
          <w:bCs/>
        </w:rPr>
        <w:t> </w:t>
      </w:r>
      <w:r w:rsidRPr="007E35FF">
        <w:rPr>
          <w:bCs/>
        </w:rPr>
        <w:t xml:space="preserve">zakresie przebiegu i oznakowania Szlaku, potwierdzonych w formie pisemnej. 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Wszelkie korekty przebiegu i oznakowania Szlaku zaproponowane przez Wykonawcę wymagają pisemnej akceptacji Zamawiającego, któremu Wykonawca dostarczy dodatkowe materiały: warstwy wektorowe przebiegu i oznakowania zmienionej części Szlaku wraz z</w:t>
      </w:r>
      <w:r w:rsidR="00776B82">
        <w:rPr>
          <w:bCs/>
        </w:rPr>
        <w:t> </w:t>
      </w:r>
      <w:r w:rsidRPr="007E35FF">
        <w:rPr>
          <w:bCs/>
        </w:rPr>
        <w:t>tabelami atrybutów oraz materiał fotograficzny.</w:t>
      </w:r>
    </w:p>
    <w:p w:rsidR="007E35FF" w:rsidRDefault="007E35FF" w:rsidP="007E35FF">
      <w:pPr>
        <w:pStyle w:val="Akapitzlist"/>
        <w:autoSpaceDE w:val="0"/>
        <w:autoSpaceDN w:val="0"/>
        <w:jc w:val="both"/>
        <w:rPr>
          <w:bCs/>
        </w:rPr>
      </w:pP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W kalkulacji kosztów należy uwzględnić: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renowację całego oznakowania malowanego,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umycie wszystkich tabliczek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sprawdzenie, czy tabliczki wskazują właściwy kierunek (czy nie zostały przekręcone) i w razie potrzeby poprawienie ich we właściwy sposób,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wykonanie naklejek do uzupełnienia na metalowych tabliczka</w:t>
      </w:r>
      <w:r w:rsidR="00844489">
        <w:rPr>
          <w:bCs/>
        </w:rPr>
        <w:t>ch (w przypadku braku naklejki) lub jej przebarwienia,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uzupełnienie oznakowania w miejscach, w których brakuje oznakowania - należy oszacować ewentualne ubytki w oznakowaniu,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taśmy stalowe i podkładki do montażu brakujących tabliczek, 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 xml:space="preserve">koszty związane z ewentualną korektą przebiegu szlaku wskazanych w p. </w:t>
      </w:r>
      <w:r w:rsidR="002652CF">
        <w:rPr>
          <w:bCs/>
        </w:rPr>
        <w:t xml:space="preserve">11 i </w:t>
      </w:r>
      <w:r w:rsidRPr="007E35FF">
        <w:rPr>
          <w:bCs/>
        </w:rPr>
        <w:t>12</w:t>
      </w:r>
      <w:r>
        <w:rPr>
          <w:bCs/>
        </w:rPr>
        <w:t>,</w:t>
      </w:r>
    </w:p>
    <w:p w:rsidR="007E35FF" w:rsidRPr="007E35FF" w:rsidRDefault="007E35FF" w:rsidP="007E35FF">
      <w:pPr>
        <w:pStyle w:val="Akapitzlist"/>
        <w:numPr>
          <w:ilvl w:val="1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Wszelkie koszty dodatkowe związane z realizacją przedmiotu zamówienia</w:t>
      </w:r>
      <w:r>
        <w:rPr>
          <w:bCs/>
        </w:rPr>
        <w:t>.</w:t>
      </w:r>
    </w:p>
    <w:p w:rsidR="007E35FF" w:rsidRPr="007E35FF" w:rsidRDefault="007E35FF" w:rsidP="007E35FF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bCs/>
        </w:rPr>
      </w:pPr>
      <w:r w:rsidRPr="007E35FF">
        <w:rPr>
          <w:bCs/>
        </w:rPr>
        <w:t>Po wykonaniu prac Wykonawca przekaże Zamawiającemu raport z wykonania zadania wraz z dokumentacją fotograficzną.</w:t>
      </w:r>
    </w:p>
    <w:p w:rsidR="00913628" w:rsidRDefault="00913628" w:rsidP="00913628">
      <w:pPr>
        <w:pStyle w:val="Akapitzlist"/>
        <w:autoSpaceDE w:val="0"/>
        <w:autoSpaceDN w:val="0"/>
        <w:jc w:val="both"/>
        <w:rPr>
          <w:bCs/>
        </w:rPr>
      </w:pPr>
    </w:p>
    <w:p w:rsidR="00913628" w:rsidRPr="00913628" w:rsidRDefault="00913628" w:rsidP="00913628">
      <w:pPr>
        <w:pStyle w:val="Akapitzlist"/>
        <w:numPr>
          <w:ilvl w:val="0"/>
          <w:numId w:val="3"/>
        </w:numPr>
        <w:jc w:val="both"/>
        <w:rPr>
          <w:b/>
          <w:bCs/>
          <w:u w:val="single"/>
        </w:rPr>
      </w:pPr>
      <w:r w:rsidRPr="00913628">
        <w:rPr>
          <w:b/>
          <w:bCs/>
        </w:rPr>
        <w:t>Szacowanie wartości zamówienia</w:t>
      </w:r>
      <w:r w:rsidR="005256B0">
        <w:rPr>
          <w:b/>
          <w:bCs/>
        </w:rPr>
        <w:t xml:space="preserve"> oraz planowany czas </w:t>
      </w:r>
      <w:r w:rsidR="006A669C">
        <w:rPr>
          <w:b/>
          <w:bCs/>
        </w:rPr>
        <w:t xml:space="preserve">i sugerowany termin </w:t>
      </w:r>
      <w:r w:rsidR="005256B0">
        <w:rPr>
          <w:b/>
          <w:bCs/>
        </w:rPr>
        <w:t>realizacji przedmiotu umowy</w:t>
      </w:r>
      <w:r>
        <w:t xml:space="preserve"> prosimy przesyłać na adres: </w:t>
      </w:r>
      <w:hyperlink r:id="rId14" w:history="1">
        <w:r w:rsidR="002652CF">
          <w:rPr>
            <w:rStyle w:val="Hipercze"/>
          </w:rPr>
          <w:t>bwolowczyk</w:t>
        </w:r>
      </w:hyperlink>
      <w:r w:rsidR="002652CF" w:rsidRPr="002652CF">
        <w:rPr>
          <w:rStyle w:val="Hipercze"/>
        </w:rPr>
        <w:t>@wzp.pl</w:t>
      </w:r>
      <w:r>
        <w:t xml:space="preserve"> </w:t>
      </w:r>
      <w:r w:rsidRPr="00913628">
        <w:rPr>
          <w:b/>
          <w:bCs/>
          <w:u w:val="single"/>
        </w:rPr>
        <w:t xml:space="preserve">do dnia </w:t>
      </w:r>
      <w:r w:rsidR="002652CF">
        <w:rPr>
          <w:b/>
          <w:bCs/>
          <w:u w:val="single"/>
        </w:rPr>
        <w:t>23</w:t>
      </w:r>
      <w:r w:rsidRPr="00913628">
        <w:rPr>
          <w:b/>
          <w:bCs/>
          <w:u w:val="single"/>
        </w:rPr>
        <w:t xml:space="preserve"> </w:t>
      </w:r>
      <w:r w:rsidR="002652CF">
        <w:rPr>
          <w:b/>
          <w:bCs/>
          <w:u w:val="single"/>
        </w:rPr>
        <w:t>lutego</w:t>
      </w:r>
      <w:r w:rsidRPr="00913628">
        <w:rPr>
          <w:b/>
          <w:bCs/>
          <w:u w:val="single"/>
        </w:rPr>
        <w:t xml:space="preserve"> 20</w:t>
      </w:r>
      <w:r w:rsidR="002652CF">
        <w:rPr>
          <w:b/>
          <w:bCs/>
          <w:u w:val="single"/>
        </w:rPr>
        <w:t>23</w:t>
      </w:r>
      <w:r w:rsidRPr="00913628">
        <w:rPr>
          <w:b/>
          <w:bCs/>
          <w:u w:val="single"/>
        </w:rPr>
        <w:t xml:space="preserve"> roku.</w:t>
      </w:r>
    </w:p>
    <w:p w:rsidR="007E35FF" w:rsidRDefault="007E35FF" w:rsidP="006E0464">
      <w:pPr>
        <w:ind w:left="851"/>
        <w:rPr>
          <w:rFonts w:asciiTheme="minorHAnsi" w:hAnsiTheme="minorHAnsi"/>
        </w:rPr>
      </w:pPr>
    </w:p>
    <w:p w:rsidR="001056D2" w:rsidRDefault="00776B82" w:rsidP="001056D2">
      <w:pPr>
        <w:jc w:val="both"/>
      </w:pPr>
      <w:r>
        <w:t>Szacowanie wartości zamówienia</w:t>
      </w:r>
      <w:r w:rsidR="00B844D6">
        <w:t xml:space="preserve"> nie stanowi </w:t>
      </w:r>
      <w:r>
        <w:t xml:space="preserve">zaproszenia do składania ofert na realizację zadania </w:t>
      </w:r>
      <w:r w:rsidR="00B844D6">
        <w:t>w</w:t>
      </w:r>
      <w:r>
        <w:t> </w:t>
      </w:r>
      <w:r w:rsidR="00B844D6">
        <w:t xml:space="preserve">rozumieniu Ustawy Prawo Zamówień Publicznych z dnia 29 stycznia 2004 r.  jest jedynie analizą rynku dokonywaną zgodnie z uchwałą nr  </w:t>
      </w:r>
      <w:r w:rsidR="002652CF">
        <w:t>95</w:t>
      </w:r>
      <w:r w:rsidR="00B844D6">
        <w:t>/</w:t>
      </w:r>
      <w:r w:rsidR="002652CF">
        <w:t>21</w:t>
      </w:r>
      <w:r w:rsidR="00B844D6">
        <w:t xml:space="preserve"> Zarządu Województwa Zachodniopomorskieg</w:t>
      </w:r>
      <w:r w:rsidR="00E03209">
        <w:t>o z</w:t>
      </w:r>
      <w:r>
        <w:t> </w:t>
      </w:r>
      <w:r w:rsidR="00E03209">
        <w:t xml:space="preserve">dnia </w:t>
      </w:r>
      <w:r w:rsidR="002652CF">
        <w:t>27 stycznia 2021 r.</w:t>
      </w:r>
      <w:bookmarkStart w:id="0" w:name="_GoBack"/>
      <w:bookmarkEnd w:id="0"/>
    </w:p>
    <w:sectPr w:rsidR="001056D2" w:rsidSect="00AB203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9C" w:rsidRDefault="006A669C" w:rsidP="004C1DE4">
      <w:r>
        <w:separator/>
      </w:r>
    </w:p>
  </w:endnote>
  <w:endnote w:type="continuationSeparator" w:id="0">
    <w:p w:rsidR="006A669C" w:rsidRDefault="006A669C" w:rsidP="004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9C" w:rsidRDefault="006A669C" w:rsidP="004C1DE4">
      <w:r>
        <w:separator/>
      </w:r>
    </w:p>
  </w:footnote>
  <w:footnote w:type="continuationSeparator" w:id="0">
    <w:p w:rsidR="006A669C" w:rsidRDefault="006A669C" w:rsidP="004C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69C" w:rsidRDefault="006A669C">
    <w:pPr>
      <w:pStyle w:val="Nagwek"/>
    </w:pPr>
  </w:p>
  <w:p w:rsidR="006A669C" w:rsidRDefault="006A66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7F2"/>
    <w:multiLevelType w:val="hybridMultilevel"/>
    <w:tmpl w:val="4A482EDE"/>
    <w:lvl w:ilvl="0" w:tplc="825209E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05749"/>
    <w:multiLevelType w:val="hybridMultilevel"/>
    <w:tmpl w:val="CC22DCC0"/>
    <w:lvl w:ilvl="0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50" w:hanging="360"/>
      </w:pPr>
      <w:rPr>
        <w:rFonts w:ascii="Wingdings" w:hAnsi="Wingdings" w:hint="default"/>
      </w:rPr>
    </w:lvl>
  </w:abstractNum>
  <w:abstractNum w:abstractNumId="4">
    <w:nsid w:val="25A201CF"/>
    <w:multiLevelType w:val="hybridMultilevel"/>
    <w:tmpl w:val="21D65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E5C7C"/>
    <w:multiLevelType w:val="hybridMultilevel"/>
    <w:tmpl w:val="FCA842C2"/>
    <w:lvl w:ilvl="0" w:tplc="67A45928">
      <w:start w:val="497"/>
      <w:numFmt w:val="decimal"/>
      <w:lvlText w:val="%1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5366F"/>
    <w:multiLevelType w:val="hybridMultilevel"/>
    <w:tmpl w:val="1EE0008C"/>
    <w:lvl w:ilvl="0" w:tplc="BC48A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9E4C42"/>
    <w:multiLevelType w:val="multilevel"/>
    <w:tmpl w:val="6ED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80566"/>
    <w:multiLevelType w:val="hybridMultilevel"/>
    <w:tmpl w:val="9A809CE2"/>
    <w:lvl w:ilvl="0" w:tplc="BC48A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44154"/>
    <w:multiLevelType w:val="hybridMultilevel"/>
    <w:tmpl w:val="F83CB19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B47B2"/>
    <w:multiLevelType w:val="hybridMultilevel"/>
    <w:tmpl w:val="39DC1D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238BE"/>
    <w:multiLevelType w:val="hybridMultilevel"/>
    <w:tmpl w:val="FA24F268"/>
    <w:lvl w:ilvl="0" w:tplc="E7DCA8B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2E88C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C96574"/>
    <w:multiLevelType w:val="hybridMultilevel"/>
    <w:tmpl w:val="760C0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  <w:color w:val="auto"/>
      </w:rPr>
    </w:lvl>
    <w:lvl w:ilvl="2" w:tplc="BC48A04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24869"/>
    <w:multiLevelType w:val="hybridMultilevel"/>
    <w:tmpl w:val="37AABF0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4"/>
  </w:num>
  <w:num w:numId="4">
    <w:abstractNumId w:val="1"/>
  </w:num>
  <w:num w:numId="5">
    <w:abstractNumId w:val="10"/>
  </w:num>
  <w:num w:numId="6">
    <w:abstractNumId w:val="15"/>
  </w:num>
  <w:num w:numId="7">
    <w:abstractNumId w:val="3"/>
  </w:num>
  <w:num w:numId="8">
    <w:abstractNumId w:val="4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4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1134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B70117"/>
    <w:rsid w:val="00014D9E"/>
    <w:rsid w:val="00067E9B"/>
    <w:rsid w:val="000C657B"/>
    <w:rsid w:val="000D6C73"/>
    <w:rsid w:val="001056D2"/>
    <w:rsid w:val="00124A25"/>
    <w:rsid w:val="00165CC9"/>
    <w:rsid w:val="001A7BD3"/>
    <w:rsid w:val="001F6D97"/>
    <w:rsid w:val="002652CF"/>
    <w:rsid w:val="002E6CEC"/>
    <w:rsid w:val="003700FD"/>
    <w:rsid w:val="00375536"/>
    <w:rsid w:val="003772E4"/>
    <w:rsid w:val="003907C5"/>
    <w:rsid w:val="00424228"/>
    <w:rsid w:val="00474756"/>
    <w:rsid w:val="004C1DE4"/>
    <w:rsid w:val="005256B0"/>
    <w:rsid w:val="00534367"/>
    <w:rsid w:val="005E357E"/>
    <w:rsid w:val="005F26B5"/>
    <w:rsid w:val="005F3579"/>
    <w:rsid w:val="006A50F4"/>
    <w:rsid w:val="006A669C"/>
    <w:rsid w:val="006E0464"/>
    <w:rsid w:val="00742ED4"/>
    <w:rsid w:val="00776B82"/>
    <w:rsid w:val="00781D2D"/>
    <w:rsid w:val="007902E7"/>
    <w:rsid w:val="00797CA6"/>
    <w:rsid w:val="007A2733"/>
    <w:rsid w:val="007B047E"/>
    <w:rsid w:val="007B5567"/>
    <w:rsid w:val="007E35FF"/>
    <w:rsid w:val="00810C55"/>
    <w:rsid w:val="00844489"/>
    <w:rsid w:val="00871EF1"/>
    <w:rsid w:val="008E64CF"/>
    <w:rsid w:val="00913628"/>
    <w:rsid w:val="00972859"/>
    <w:rsid w:val="009C782A"/>
    <w:rsid w:val="00A41206"/>
    <w:rsid w:val="00A42BCB"/>
    <w:rsid w:val="00A51FD1"/>
    <w:rsid w:val="00A528ED"/>
    <w:rsid w:val="00A72FFF"/>
    <w:rsid w:val="00AA6D0C"/>
    <w:rsid w:val="00AB2032"/>
    <w:rsid w:val="00AE113C"/>
    <w:rsid w:val="00AF0913"/>
    <w:rsid w:val="00AF4EF4"/>
    <w:rsid w:val="00B70117"/>
    <w:rsid w:val="00B844D6"/>
    <w:rsid w:val="00B866C1"/>
    <w:rsid w:val="00B95DAA"/>
    <w:rsid w:val="00BB2BBE"/>
    <w:rsid w:val="00C021ED"/>
    <w:rsid w:val="00C55649"/>
    <w:rsid w:val="00C77FE3"/>
    <w:rsid w:val="00CB6A59"/>
    <w:rsid w:val="00CD707C"/>
    <w:rsid w:val="00D27F8C"/>
    <w:rsid w:val="00D85638"/>
    <w:rsid w:val="00DC40B0"/>
    <w:rsid w:val="00DC65A9"/>
    <w:rsid w:val="00DE5C78"/>
    <w:rsid w:val="00DF7A2D"/>
    <w:rsid w:val="00E03209"/>
    <w:rsid w:val="00E40BAD"/>
    <w:rsid w:val="00E81278"/>
    <w:rsid w:val="00E85C32"/>
    <w:rsid w:val="00EA291F"/>
    <w:rsid w:val="00F14C47"/>
    <w:rsid w:val="00FA64B2"/>
    <w:rsid w:val="00FB461C"/>
    <w:rsid w:val="00FD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7E35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72FFF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rsid w:val="007E35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amino.net.pl/droga-w-polsce/droga-pomorska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prusiewicz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BWolowczyk</cp:lastModifiedBy>
  <cp:revision>4</cp:revision>
  <dcterms:created xsi:type="dcterms:W3CDTF">2023-02-15T12:36:00Z</dcterms:created>
  <dcterms:modified xsi:type="dcterms:W3CDTF">2023-02-17T12:07:00Z</dcterms:modified>
</cp:coreProperties>
</file>