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46" w:rsidRPr="00FC6064" w:rsidRDefault="00EA4F46" w:rsidP="006B7BAD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FC6064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FC6064" w:rsidRDefault="00EA4F46" w:rsidP="008E1BD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D36E57" w:rsidRDefault="00BD74D6" w:rsidP="00DC1E2A">
      <w:pPr>
        <w:spacing w:line="276" w:lineRule="auto"/>
        <w:rPr>
          <w:rFonts w:ascii="Arial" w:hAnsi="Arial" w:cs="Arial"/>
          <w:sz w:val="20"/>
          <w:szCs w:val="20"/>
        </w:rPr>
      </w:pPr>
      <w:r w:rsidRPr="00D36E57">
        <w:rPr>
          <w:rFonts w:ascii="Arial" w:hAnsi="Arial" w:cs="Arial"/>
          <w:sz w:val="20"/>
          <w:szCs w:val="20"/>
        </w:rPr>
        <w:t>REJESTR ZMIAN</w:t>
      </w:r>
      <w:r w:rsidR="004C0DD4" w:rsidRPr="00D36E57">
        <w:rPr>
          <w:rFonts w:ascii="Arial" w:hAnsi="Arial" w:cs="Arial"/>
          <w:sz w:val="20"/>
          <w:szCs w:val="20"/>
        </w:rPr>
        <w:t xml:space="preserve"> DO:</w:t>
      </w:r>
    </w:p>
    <w:p w:rsidR="00D36E57" w:rsidRPr="00D36E57" w:rsidRDefault="00CE3459" w:rsidP="00DC1E2A">
      <w:pPr>
        <w:spacing w:line="276" w:lineRule="auto"/>
        <w:rPr>
          <w:rFonts w:ascii="Arial" w:hAnsi="Arial" w:cs="Arial"/>
          <w:sz w:val="20"/>
          <w:szCs w:val="20"/>
        </w:rPr>
      </w:pPr>
      <w:r w:rsidRPr="00D36E57">
        <w:rPr>
          <w:rFonts w:ascii="Arial" w:hAnsi="Arial" w:cs="Arial"/>
          <w:sz w:val="20"/>
          <w:szCs w:val="20"/>
        </w:rPr>
        <w:t>Regulamin</w:t>
      </w:r>
      <w:r w:rsidR="00B93F82" w:rsidRPr="00D36E57">
        <w:rPr>
          <w:rFonts w:ascii="Arial" w:hAnsi="Arial" w:cs="Arial"/>
          <w:sz w:val="20"/>
          <w:szCs w:val="20"/>
        </w:rPr>
        <w:t>u</w:t>
      </w:r>
      <w:r w:rsidRPr="00D36E57">
        <w:rPr>
          <w:rFonts w:ascii="Arial" w:hAnsi="Arial" w:cs="Arial"/>
          <w:sz w:val="20"/>
          <w:szCs w:val="20"/>
        </w:rPr>
        <w:t xml:space="preserve"> konkursu w ramach Regionalnego Programu Operacyjnego Województwa Zachodniopomorskiego 2014 – 2020,</w:t>
      </w:r>
      <w:r w:rsidR="00D36E57" w:rsidRPr="00D36E57">
        <w:rPr>
          <w:rFonts w:ascii="Arial" w:hAnsi="Arial" w:cs="Arial"/>
          <w:sz w:val="20"/>
          <w:szCs w:val="20"/>
        </w:rPr>
        <w:t xml:space="preserve"> </w:t>
      </w:r>
    </w:p>
    <w:p w:rsidR="00D36E57" w:rsidRPr="00D36E57" w:rsidRDefault="00D36E57" w:rsidP="00DC1E2A">
      <w:pPr>
        <w:spacing w:line="276" w:lineRule="auto"/>
        <w:rPr>
          <w:rFonts w:ascii="Arial" w:hAnsi="Arial" w:cs="Arial"/>
          <w:sz w:val="20"/>
          <w:szCs w:val="20"/>
        </w:rPr>
      </w:pPr>
      <w:r w:rsidRPr="00D36E57">
        <w:rPr>
          <w:rFonts w:ascii="Arial" w:hAnsi="Arial" w:cs="Arial"/>
          <w:sz w:val="20"/>
          <w:szCs w:val="20"/>
        </w:rPr>
        <w:t xml:space="preserve">Oś Priorytetowa 1 Gospodarka, Innowacje, Nowoczesne Technologie </w:t>
      </w:r>
    </w:p>
    <w:p w:rsidR="00EA4F46" w:rsidRPr="007B1B31" w:rsidRDefault="00D36E57" w:rsidP="00DC1E2A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36E57">
        <w:rPr>
          <w:rFonts w:ascii="Arial" w:hAnsi="Arial" w:cs="Arial"/>
          <w:sz w:val="20"/>
          <w:szCs w:val="20"/>
        </w:rPr>
        <w:t>Działanie 1.</w:t>
      </w:r>
      <w:r w:rsidR="007B1B31">
        <w:rPr>
          <w:rFonts w:ascii="Arial" w:hAnsi="Arial" w:cs="Arial"/>
          <w:sz w:val="20"/>
          <w:szCs w:val="20"/>
        </w:rPr>
        <w:t xml:space="preserve">3 </w:t>
      </w:r>
      <w:r w:rsidR="00146AAD" w:rsidRPr="00146AAD">
        <w:rPr>
          <w:rFonts w:ascii="Arial" w:hAnsi="Arial" w:cs="Arial"/>
          <w:sz w:val="20"/>
          <w:szCs w:val="20"/>
        </w:rPr>
        <w:t>Rozwój publicznej infrastruktury badawczej</w:t>
      </w:r>
      <w:r w:rsidR="00146AAD">
        <w:rPr>
          <w:rFonts w:ascii="Arial" w:hAnsi="Arial" w:cs="Arial"/>
          <w:sz w:val="20"/>
          <w:szCs w:val="20"/>
        </w:rPr>
        <w:t xml:space="preserve">, </w:t>
      </w:r>
      <w:r w:rsidR="008E1BDA" w:rsidRPr="00D36E57">
        <w:rPr>
          <w:rFonts w:ascii="Arial" w:hAnsi="Arial" w:cs="Arial"/>
          <w:sz w:val="20"/>
          <w:szCs w:val="20"/>
        </w:rPr>
        <w:t>Wersja 1.0</w:t>
      </w:r>
      <w:r w:rsidR="00CE3459" w:rsidRPr="001D4A2C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W w:w="14459" w:type="dxa"/>
        <w:tblInd w:w="108" w:type="dxa"/>
        <w:tblLook w:val="04A0"/>
      </w:tblPr>
      <w:tblGrid>
        <w:gridCol w:w="563"/>
        <w:gridCol w:w="1540"/>
        <w:gridCol w:w="1698"/>
        <w:gridCol w:w="6264"/>
        <w:gridCol w:w="2841"/>
        <w:gridCol w:w="1553"/>
      </w:tblGrid>
      <w:tr w:rsidR="00A253AF" w:rsidRPr="007B1B31" w:rsidTr="00BA3A46">
        <w:tc>
          <w:tcPr>
            <w:tcW w:w="563" w:type="dxa"/>
            <w:vAlign w:val="center"/>
          </w:tcPr>
          <w:p w:rsidR="00CE3459" w:rsidRPr="00146AAD" w:rsidRDefault="00CE3459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Lp</w:t>
            </w:r>
            <w:r w:rsidR="00657C0E" w:rsidRPr="00146AA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40" w:type="dxa"/>
            <w:vAlign w:val="center"/>
          </w:tcPr>
          <w:p w:rsidR="00CE3459" w:rsidRPr="00146AAD" w:rsidRDefault="00CE3459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Nazwa dokumentu</w:t>
            </w:r>
          </w:p>
        </w:tc>
        <w:tc>
          <w:tcPr>
            <w:tcW w:w="1698" w:type="dxa"/>
            <w:vAlign w:val="center"/>
          </w:tcPr>
          <w:p w:rsidR="00864B51" w:rsidRPr="00146AAD" w:rsidRDefault="00CE3459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R</w:t>
            </w:r>
            <w:r w:rsidR="00632A87" w:rsidRPr="00146AAD">
              <w:rPr>
                <w:rFonts w:ascii="Arial" w:hAnsi="Arial" w:cs="Arial"/>
                <w:sz w:val="17"/>
                <w:szCs w:val="17"/>
              </w:rPr>
              <w:t>ozdział/</w:t>
            </w:r>
          </w:p>
          <w:p w:rsidR="00864B51" w:rsidRPr="00146AAD" w:rsidRDefault="0018554D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P</w:t>
            </w:r>
            <w:r w:rsidR="00632A87" w:rsidRPr="00146AAD">
              <w:rPr>
                <w:rFonts w:ascii="Arial" w:hAnsi="Arial" w:cs="Arial"/>
                <w:sz w:val="17"/>
                <w:szCs w:val="17"/>
              </w:rPr>
              <w:t>odrozdział</w:t>
            </w:r>
            <w:r w:rsidRPr="00146AAD">
              <w:rPr>
                <w:rFonts w:ascii="Arial" w:hAnsi="Arial" w:cs="Arial"/>
                <w:sz w:val="17"/>
                <w:szCs w:val="17"/>
              </w:rPr>
              <w:t>/</w:t>
            </w:r>
          </w:p>
          <w:p w:rsidR="00864B51" w:rsidRPr="00146AAD" w:rsidRDefault="00632A87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punkt/</w:t>
            </w:r>
          </w:p>
          <w:p w:rsidR="00CE3459" w:rsidRPr="00146AAD" w:rsidRDefault="00632A87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strona</w:t>
            </w:r>
          </w:p>
        </w:tc>
        <w:tc>
          <w:tcPr>
            <w:tcW w:w="6264" w:type="dxa"/>
            <w:vAlign w:val="center"/>
          </w:tcPr>
          <w:p w:rsidR="00CE3459" w:rsidRPr="00146AAD" w:rsidRDefault="00CE3459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Opis zmiany</w:t>
            </w:r>
          </w:p>
        </w:tc>
        <w:tc>
          <w:tcPr>
            <w:tcW w:w="2841" w:type="dxa"/>
            <w:vAlign w:val="center"/>
          </w:tcPr>
          <w:p w:rsidR="00CE3459" w:rsidRPr="00146AAD" w:rsidRDefault="00A253AF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Uzasadnienie zmiany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253AF" w:rsidRPr="00146AAD" w:rsidRDefault="00A253AF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Data wprowadzenia</w:t>
            </w:r>
          </w:p>
        </w:tc>
      </w:tr>
      <w:tr w:rsidR="00617790" w:rsidRPr="007B1B31" w:rsidTr="008D0A06">
        <w:tc>
          <w:tcPr>
            <w:tcW w:w="563" w:type="dxa"/>
            <w:vAlign w:val="center"/>
          </w:tcPr>
          <w:p w:rsidR="00617790" w:rsidRPr="00146AAD" w:rsidRDefault="00617790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1. </w:t>
            </w:r>
          </w:p>
        </w:tc>
        <w:tc>
          <w:tcPr>
            <w:tcW w:w="1540" w:type="dxa"/>
            <w:vAlign w:val="center"/>
          </w:tcPr>
          <w:p w:rsidR="00617790" w:rsidRPr="00146AAD" w:rsidRDefault="00617790" w:rsidP="00617790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Regulamin konkursu dla Działania 1.3, wersja 1.0</w:t>
            </w:r>
          </w:p>
          <w:p w:rsidR="00617790" w:rsidRPr="00146AAD" w:rsidRDefault="00617790" w:rsidP="00AE3122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 xml:space="preserve">z </w:t>
            </w:r>
            <w:r w:rsidR="00AE3122">
              <w:rPr>
                <w:rFonts w:ascii="Arial" w:hAnsi="Arial" w:cs="Arial"/>
                <w:sz w:val="17"/>
                <w:szCs w:val="17"/>
              </w:rPr>
              <w:t>27</w:t>
            </w:r>
            <w:r w:rsidRPr="00146AAD">
              <w:rPr>
                <w:rFonts w:ascii="Arial" w:hAnsi="Arial" w:cs="Arial"/>
                <w:sz w:val="17"/>
                <w:szCs w:val="17"/>
              </w:rPr>
              <w:t xml:space="preserve"> marca 2017 r.</w:t>
            </w:r>
          </w:p>
        </w:tc>
        <w:tc>
          <w:tcPr>
            <w:tcW w:w="1698" w:type="dxa"/>
            <w:vAlign w:val="center"/>
          </w:tcPr>
          <w:p w:rsidR="00617790" w:rsidRDefault="00617790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Podstawy prawne </w:t>
            </w:r>
          </w:p>
          <w:p w:rsidR="00617790" w:rsidRPr="00146AAD" w:rsidRDefault="00617790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264" w:type="dxa"/>
            <w:vAlign w:val="center"/>
          </w:tcPr>
          <w:p w:rsidR="00617790" w:rsidRDefault="00617790" w:rsidP="00617790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146AAD">
              <w:rPr>
                <w:rFonts w:ascii="Arial" w:hAnsi="Arial" w:cs="Arial"/>
                <w:sz w:val="17"/>
                <w:szCs w:val="17"/>
                <w:u w:val="single"/>
              </w:rPr>
              <w:t>Zapis:</w:t>
            </w:r>
          </w:p>
          <w:p w:rsidR="00617790" w:rsidRPr="00617790" w:rsidRDefault="00617790" w:rsidP="00617790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617790">
              <w:rPr>
                <w:rFonts w:ascii="Arial" w:eastAsia="Times New Roman" w:hAnsi="Arial" w:cs="Arial"/>
                <w:i/>
                <w:sz w:val="17"/>
                <w:szCs w:val="17"/>
              </w:rPr>
              <w:t>1. Wytyczne Ministra Infrastruktury i Rozwoju w zakresie trybów wyboru projektów na lata 2014-2020 z dnia 31 marca 2015 r.;</w:t>
            </w:r>
          </w:p>
          <w:p w:rsidR="00617790" w:rsidRPr="00617790" w:rsidRDefault="00617790" w:rsidP="00617790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617790">
              <w:rPr>
                <w:rFonts w:ascii="Arial" w:hAnsi="Arial" w:cs="Arial"/>
                <w:bCs/>
                <w:sz w:val="17"/>
                <w:szCs w:val="17"/>
                <w:u w:val="single"/>
              </w:rPr>
              <w:t xml:space="preserve">Zmieniono na: </w:t>
            </w:r>
          </w:p>
          <w:p w:rsidR="00617790" w:rsidRPr="00617790" w:rsidRDefault="00617790" w:rsidP="00617790">
            <w:pPr>
              <w:spacing w:line="276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617790">
              <w:rPr>
                <w:rFonts w:ascii="Arial" w:hAnsi="Arial" w:cs="Arial"/>
                <w:i/>
                <w:sz w:val="17"/>
                <w:szCs w:val="17"/>
              </w:rPr>
              <w:t xml:space="preserve">1. </w:t>
            </w:r>
            <w:r w:rsidRPr="00617790">
              <w:rPr>
                <w:rFonts w:ascii="Arial" w:hAnsi="Arial" w:cs="Arial"/>
                <w:bCs/>
                <w:i/>
                <w:sz w:val="17"/>
                <w:szCs w:val="17"/>
              </w:rPr>
              <w:t>Wytyczne Ministra Rozwoju i Finansów w zakresie trybów wyboru projektów na lata 2014-2020 z dnia 6 marca 2017 r.;</w:t>
            </w:r>
          </w:p>
        </w:tc>
        <w:tc>
          <w:tcPr>
            <w:tcW w:w="2841" w:type="dxa"/>
            <w:vAlign w:val="center"/>
          </w:tcPr>
          <w:p w:rsidR="00617790" w:rsidRPr="00617790" w:rsidRDefault="00617790" w:rsidP="00617790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17790">
              <w:rPr>
                <w:rFonts w:ascii="Arial" w:hAnsi="Arial" w:cs="Arial"/>
                <w:sz w:val="17"/>
                <w:szCs w:val="17"/>
              </w:rPr>
              <w:t>W celu dostosowania zapisów dokumentacji konkursowej do obowiązujących przepisów prawa.</w:t>
            </w:r>
          </w:p>
        </w:tc>
        <w:tc>
          <w:tcPr>
            <w:tcW w:w="1553" w:type="dxa"/>
            <w:shd w:val="clear" w:color="auto" w:fill="auto"/>
          </w:tcPr>
          <w:p w:rsidR="00617790" w:rsidRPr="00146AAD" w:rsidRDefault="008D0A06" w:rsidP="008D0A06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27.04.2017</w:t>
            </w:r>
          </w:p>
        </w:tc>
      </w:tr>
      <w:tr w:rsidR="00146AAD" w:rsidRPr="007B1B31" w:rsidTr="008D0A06">
        <w:tc>
          <w:tcPr>
            <w:tcW w:w="563" w:type="dxa"/>
            <w:vAlign w:val="center"/>
          </w:tcPr>
          <w:p w:rsidR="00146AAD" w:rsidRPr="00146AAD" w:rsidRDefault="00617790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</w:p>
        </w:tc>
        <w:tc>
          <w:tcPr>
            <w:tcW w:w="1540" w:type="dxa"/>
            <w:vAlign w:val="center"/>
          </w:tcPr>
          <w:p w:rsidR="00146AAD" w:rsidRPr="00146AAD" w:rsidRDefault="00146AAD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Regulamin konkursu dla Działania 1.3, wersja 1.0</w:t>
            </w:r>
          </w:p>
          <w:p w:rsidR="00146AAD" w:rsidRPr="00146AAD" w:rsidRDefault="00146AAD" w:rsidP="00AE3122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 xml:space="preserve">z </w:t>
            </w:r>
            <w:r w:rsidR="00AE3122">
              <w:rPr>
                <w:rFonts w:ascii="Arial" w:hAnsi="Arial" w:cs="Arial"/>
                <w:sz w:val="17"/>
                <w:szCs w:val="17"/>
              </w:rPr>
              <w:t>27</w:t>
            </w:r>
            <w:r w:rsidRPr="00146AAD">
              <w:rPr>
                <w:rFonts w:ascii="Arial" w:hAnsi="Arial" w:cs="Arial"/>
                <w:sz w:val="17"/>
                <w:szCs w:val="17"/>
              </w:rPr>
              <w:t xml:space="preserve"> marca 2017 r.</w:t>
            </w:r>
          </w:p>
        </w:tc>
        <w:tc>
          <w:tcPr>
            <w:tcW w:w="1698" w:type="dxa"/>
            <w:vAlign w:val="center"/>
          </w:tcPr>
          <w:p w:rsidR="00146AAD" w:rsidRPr="00146AAD" w:rsidRDefault="00146AAD" w:rsidP="0087050F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 xml:space="preserve">Rozdział 1, </w:t>
            </w:r>
          </w:p>
          <w:p w:rsidR="00146AAD" w:rsidRPr="00146AAD" w:rsidRDefault="00146AAD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 xml:space="preserve">Podrozdział 1.2 </w:t>
            </w:r>
          </w:p>
          <w:p w:rsidR="00146AAD" w:rsidRPr="00146AAD" w:rsidRDefault="00146AAD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>punkt 5</w:t>
            </w:r>
          </w:p>
          <w:p w:rsidR="00146AAD" w:rsidRPr="00146AAD" w:rsidRDefault="00146AAD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46AAD" w:rsidRPr="00146AAD" w:rsidRDefault="00146AAD" w:rsidP="00146AAD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 xml:space="preserve">str. </w:t>
            </w:r>
            <w:r w:rsidR="00A74BCF">
              <w:rPr>
                <w:rFonts w:ascii="Arial" w:hAnsi="Arial" w:cs="Arial"/>
                <w:sz w:val="17"/>
                <w:szCs w:val="17"/>
              </w:rPr>
              <w:t>9/</w:t>
            </w:r>
            <w:r w:rsidRPr="00146AAD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6264" w:type="dxa"/>
            <w:vAlign w:val="center"/>
          </w:tcPr>
          <w:p w:rsidR="00146AAD" w:rsidRPr="00146AAD" w:rsidRDefault="00146AAD" w:rsidP="00146AAD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146AAD">
              <w:rPr>
                <w:rFonts w:ascii="Arial" w:hAnsi="Arial" w:cs="Arial"/>
                <w:sz w:val="17"/>
                <w:szCs w:val="17"/>
                <w:u w:val="single"/>
              </w:rPr>
              <w:t>Zapis:</w:t>
            </w:r>
          </w:p>
          <w:p w:rsidR="00146AAD" w:rsidRPr="00146AAD" w:rsidRDefault="00146AAD" w:rsidP="00146AAD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146AAD">
              <w:rPr>
                <w:rFonts w:ascii="Arial" w:eastAsia="Times New Roman" w:hAnsi="Arial" w:cs="Arial"/>
                <w:i/>
                <w:sz w:val="17"/>
                <w:szCs w:val="17"/>
              </w:rPr>
              <w:t xml:space="preserve">Infrastruktura badawcza wsparta w ramach projektu powinna być dostępna dla szeregu użytkowników (w tym przedsiębiorstw) na przejrzystych i niedyskryminacyjnych zasadach, a cena pobierana za prowadzenie i użytkowanie infrastruktury powinna odpowiadać </w:t>
            </w:r>
            <w:r w:rsidRPr="00146AAD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>cenie rynkowej</w:t>
            </w:r>
            <w:r w:rsidRPr="00146AAD">
              <w:rPr>
                <w:rFonts w:ascii="Arial" w:eastAsia="Times New Roman" w:hAnsi="Arial" w:cs="Arial"/>
                <w:i/>
                <w:sz w:val="17"/>
                <w:szCs w:val="17"/>
              </w:rPr>
              <w:t xml:space="preserve"> (brak możliwości transferu korzyści z poziomu właściciela infrastruktury na niższe poziomy). Przedsiębiorstwom, które finansują co najmniej 10% wartości kosztów kwalifikowalnych  związanych z częścią gospodarczą projektu można przyznać preferencyjny dostęp do infrastruktury badawczej na bardziej korzystnych warunkach. Aby uniknąć nadmiernej rekompensaty, dostęp ten musi być proporcjonalny do wkładu przedsiębiorstwa w koszty inwestycji, a warunki te należy podawać do wiadomości publicznej. Warunek dotyczący wkładu na poziomie co najmniej 10% należy odnosić do pojedynczego przedsiębiorcy. Sposób przyznania przedsiębiorcy preferencyjnego dostępu powinien zostać opisany w dokumentacji aplikacyjnej.</w:t>
            </w:r>
          </w:p>
          <w:p w:rsidR="00146AAD" w:rsidRPr="00146AAD" w:rsidRDefault="00146AAD" w:rsidP="00146AAD">
            <w:pPr>
              <w:spacing w:line="276" w:lineRule="auto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146AAD">
              <w:rPr>
                <w:rFonts w:ascii="Arial" w:hAnsi="Arial" w:cs="Arial"/>
                <w:sz w:val="17"/>
                <w:szCs w:val="17"/>
                <w:u w:val="single"/>
              </w:rPr>
              <w:t>Zmieniono na:</w:t>
            </w:r>
          </w:p>
          <w:p w:rsidR="00146AAD" w:rsidRPr="007B1B31" w:rsidRDefault="00735C27" w:rsidP="00A74BCF">
            <w:pPr>
              <w:pStyle w:val="Nagwek3"/>
              <w:numPr>
                <w:ilvl w:val="0"/>
                <w:numId w:val="0"/>
              </w:numPr>
              <w:spacing w:line="276" w:lineRule="auto"/>
              <w:outlineLvl w:val="2"/>
              <w:rPr>
                <w:rFonts w:eastAsia="Times New Roman" w:cs="Arial"/>
                <w:i/>
                <w:color w:val="0070C0"/>
                <w:sz w:val="17"/>
                <w:szCs w:val="17"/>
              </w:rPr>
            </w:pPr>
            <w:r w:rsidRPr="00735C27">
              <w:rPr>
                <w:rFonts w:eastAsia="Times New Roman" w:cs="Arial"/>
                <w:i/>
                <w:sz w:val="17"/>
                <w:szCs w:val="17"/>
              </w:rPr>
              <w:t xml:space="preserve">Infrastruktura badawcza wsparta w ramach projektu powinna być dostępna dla </w:t>
            </w:r>
            <w:r w:rsidRPr="00735C27">
              <w:rPr>
                <w:rFonts w:eastAsia="Times New Roman" w:cs="Arial"/>
                <w:i/>
                <w:sz w:val="17"/>
                <w:szCs w:val="17"/>
              </w:rPr>
              <w:lastRenderedPageBreak/>
              <w:t xml:space="preserve">szeregu użytkowników (w tym przedsiębiorstw) na przejrzystych i niedyskryminacyjnych zasadach, a cena pobierana za prowadzenie i użytkowanie infrastruktury powinna odpowiadać cenie rynkowej (brak możliwości transferu korzyści z poziomu właściciela infrastruktury na niższe poziomy). Przedsiębiorstwom, które finansują co najmniej 10% wartości kosztów kwalifikowalnych  </w:t>
            </w:r>
            <w:r w:rsidR="00C92111">
              <w:rPr>
                <w:rFonts w:eastAsia="Times New Roman" w:cs="Arial"/>
                <w:i/>
                <w:sz w:val="17"/>
                <w:szCs w:val="17"/>
              </w:rPr>
              <w:t>inwestycji w</w:t>
            </w:r>
            <w:r>
              <w:rPr>
                <w:rFonts w:eastAsia="Times New Roman" w:cs="Arial"/>
                <w:i/>
                <w:sz w:val="17"/>
                <w:szCs w:val="17"/>
              </w:rPr>
              <w:t xml:space="preserve"> infrastrukturę</w:t>
            </w:r>
            <w:r w:rsidRPr="00735C27">
              <w:rPr>
                <w:rFonts w:eastAsia="Times New Roman" w:cs="Arial"/>
                <w:i/>
                <w:sz w:val="17"/>
                <w:szCs w:val="17"/>
              </w:rPr>
              <w:t xml:space="preserve">, w rozumieniu rozporządzenia Komisji (UE) </w:t>
            </w:r>
            <w:r>
              <w:rPr>
                <w:rFonts w:eastAsia="Times New Roman" w:cs="Arial"/>
                <w:i/>
                <w:sz w:val="17"/>
                <w:szCs w:val="17"/>
              </w:rPr>
              <w:t>n</w:t>
            </w:r>
            <w:r w:rsidRPr="00735C27">
              <w:rPr>
                <w:rFonts w:eastAsia="Times New Roman" w:cs="Arial"/>
                <w:i/>
                <w:sz w:val="17"/>
                <w:szCs w:val="17"/>
              </w:rPr>
              <w:t xml:space="preserve">r 651/2014, można przyznać preferencyjny dostęp do infrastruktury badawczej na bardziej korzystnych warunkach. Aby uniknąć nadmiernej rekompensaty, dostęp ten musi być proporcjonalny do wkładu przedsiębiorstwa w koszty inwestycji, a warunki te należy podawać do wiadomości publicznej. Warunek dotyczący wkładu na poziomie co najmniej </w:t>
            </w:r>
            <w:bookmarkStart w:id="0" w:name="_GoBack"/>
            <w:bookmarkEnd w:id="0"/>
            <w:r w:rsidRPr="00735C27">
              <w:rPr>
                <w:rFonts w:eastAsia="Times New Roman" w:cs="Arial"/>
                <w:i/>
                <w:sz w:val="17"/>
                <w:szCs w:val="17"/>
              </w:rPr>
              <w:t>10% należy odnosić do pojedynczego przedsiębiorcy. Sposób przyznania przedsiębiorcy preferencyjnego dostępu powinien zostać opisany w dokumentacji aplikacyjnej.</w:t>
            </w:r>
          </w:p>
        </w:tc>
        <w:tc>
          <w:tcPr>
            <w:tcW w:w="2841" w:type="dxa"/>
            <w:vAlign w:val="center"/>
          </w:tcPr>
          <w:p w:rsidR="00146AAD" w:rsidRPr="00146AAD" w:rsidRDefault="00146AAD" w:rsidP="00146AAD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lastRenderedPageBreak/>
              <w:t xml:space="preserve">W celu </w:t>
            </w:r>
            <w:r>
              <w:rPr>
                <w:rFonts w:ascii="Arial" w:hAnsi="Arial" w:cs="Arial"/>
                <w:sz w:val="17"/>
                <w:szCs w:val="17"/>
              </w:rPr>
              <w:t xml:space="preserve">skorygowania </w:t>
            </w:r>
            <w:r w:rsidRPr="00146AAD">
              <w:rPr>
                <w:rFonts w:ascii="Arial" w:hAnsi="Arial" w:cs="Arial"/>
                <w:sz w:val="17"/>
                <w:szCs w:val="17"/>
              </w:rPr>
              <w:t>i ujednolicenia zapisów dokumenta</w:t>
            </w:r>
            <w:r w:rsidR="00A74BCF">
              <w:rPr>
                <w:rFonts w:ascii="Arial" w:hAnsi="Arial" w:cs="Arial"/>
                <w:sz w:val="17"/>
                <w:szCs w:val="17"/>
              </w:rPr>
              <w:t xml:space="preserve">cji konkursowej w związku z rekomendacją Ministerstwa Rozwoju i Finansów odnośnie interpretacji przepisów prawa. </w:t>
            </w:r>
          </w:p>
          <w:p w:rsidR="00146AAD" w:rsidRPr="00146AAD" w:rsidRDefault="00146AAD" w:rsidP="00146AAD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auto"/>
          </w:tcPr>
          <w:p w:rsidR="00146AAD" w:rsidRPr="007B1B31" w:rsidRDefault="008D0A06" w:rsidP="008D0A06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27.04.2017</w:t>
            </w:r>
          </w:p>
        </w:tc>
      </w:tr>
      <w:tr w:rsidR="00146AAD" w:rsidRPr="007B1B31" w:rsidTr="008D0A06">
        <w:tc>
          <w:tcPr>
            <w:tcW w:w="563" w:type="dxa"/>
            <w:vAlign w:val="center"/>
          </w:tcPr>
          <w:p w:rsidR="00146AAD" w:rsidRPr="00620926" w:rsidRDefault="001A626F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20926">
              <w:rPr>
                <w:rFonts w:ascii="Arial" w:hAnsi="Arial" w:cs="Arial"/>
                <w:sz w:val="17"/>
                <w:szCs w:val="17"/>
              </w:rPr>
              <w:lastRenderedPageBreak/>
              <w:t>3</w:t>
            </w:r>
            <w:r w:rsidR="00146AAD" w:rsidRPr="00620926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40" w:type="dxa"/>
            <w:vAlign w:val="center"/>
          </w:tcPr>
          <w:p w:rsidR="001A626F" w:rsidRPr="00620926" w:rsidRDefault="001A626F" w:rsidP="001A626F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20926">
              <w:rPr>
                <w:rFonts w:ascii="Arial" w:hAnsi="Arial" w:cs="Arial"/>
                <w:sz w:val="17"/>
                <w:szCs w:val="17"/>
              </w:rPr>
              <w:t>Regulamin konkursu dla Działania 1.3, wersja 1.0</w:t>
            </w:r>
          </w:p>
          <w:p w:rsidR="00146AAD" w:rsidRPr="00620926" w:rsidRDefault="001A626F" w:rsidP="00AE3122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20926">
              <w:rPr>
                <w:rFonts w:ascii="Arial" w:hAnsi="Arial" w:cs="Arial"/>
                <w:sz w:val="17"/>
                <w:szCs w:val="17"/>
              </w:rPr>
              <w:t xml:space="preserve">z </w:t>
            </w:r>
            <w:r w:rsidR="00AE3122">
              <w:rPr>
                <w:rFonts w:ascii="Arial" w:hAnsi="Arial" w:cs="Arial"/>
                <w:sz w:val="17"/>
                <w:szCs w:val="17"/>
              </w:rPr>
              <w:t>27</w:t>
            </w:r>
            <w:r w:rsidRPr="00620926">
              <w:rPr>
                <w:rFonts w:ascii="Arial" w:hAnsi="Arial" w:cs="Arial"/>
                <w:sz w:val="17"/>
                <w:szCs w:val="17"/>
              </w:rPr>
              <w:t xml:space="preserve"> marca 2017 r.</w:t>
            </w:r>
          </w:p>
        </w:tc>
        <w:tc>
          <w:tcPr>
            <w:tcW w:w="1698" w:type="dxa"/>
            <w:vAlign w:val="center"/>
          </w:tcPr>
          <w:p w:rsidR="001A626F" w:rsidRPr="00146AAD" w:rsidRDefault="001A626F" w:rsidP="001A626F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 xml:space="preserve">Rozdział 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146AAD">
              <w:rPr>
                <w:rFonts w:ascii="Arial" w:hAnsi="Arial" w:cs="Arial"/>
                <w:sz w:val="17"/>
                <w:szCs w:val="17"/>
              </w:rPr>
              <w:t xml:space="preserve">, </w:t>
            </w:r>
          </w:p>
          <w:p w:rsidR="001A626F" w:rsidRPr="00146AAD" w:rsidRDefault="001A626F" w:rsidP="001A626F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Podrozdział 7</w:t>
            </w:r>
            <w:r w:rsidRPr="00146AAD">
              <w:rPr>
                <w:rFonts w:ascii="Arial" w:hAnsi="Arial" w:cs="Arial"/>
                <w:sz w:val="17"/>
                <w:szCs w:val="17"/>
              </w:rPr>
              <w:t xml:space="preserve">.2 </w:t>
            </w:r>
          </w:p>
          <w:p w:rsidR="001A626F" w:rsidRPr="00146AAD" w:rsidRDefault="001A626F" w:rsidP="001A626F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 xml:space="preserve">punkt 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  <w:p w:rsidR="001A626F" w:rsidRPr="00146AAD" w:rsidRDefault="001A626F" w:rsidP="001A626F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46AAD" w:rsidRPr="007B1B31" w:rsidRDefault="001A626F" w:rsidP="001A626F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 xml:space="preserve">str. </w:t>
            </w:r>
            <w:r>
              <w:rPr>
                <w:rFonts w:ascii="Arial" w:hAnsi="Arial" w:cs="Arial"/>
                <w:sz w:val="17"/>
                <w:szCs w:val="17"/>
              </w:rPr>
              <w:t>39</w:t>
            </w:r>
          </w:p>
        </w:tc>
        <w:tc>
          <w:tcPr>
            <w:tcW w:w="6264" w:type="dxa"/>
            <w:vAlign w:val="center"/>
          </w:tcPr>
          <w:p w:rsidR="001A626F" w:rsidRDefault="001A626F" w:rsidP="001A626F">
            <w:pPr>
              <w:spacing w:line="276" w:lineRule="auto"/>
              <w:jc w:val="both"/>
              <w:rPr>
                <w:rFonts w:ascii="Arial" w:eastAsia="Times New Roman" w:hAnsi="Arial" w:cs="Arial"/>
                <w:sz w:val="17"/>
                <w:szCs w:val="17"/>
                <w:u w:val="single"/>
              </w:rPr>
            </w:pPr>
            <w:r w:rsidRPr="001A626F">
              <w:rPr>
                <w:rFonts w:ascii="Arial" w:eastAsia="Times New Roman" w:hAnsi="Arial" w:cs="Arial"/>
                <w:sz w:val="17"/>
                <w:szCs w:val="17"/>
                <w:u w:val="single"/>
              </w:rPr>
              <w:t>Zapis:</w:t>
            </w:r>
          </w:p>
          <w:p w:rsidR="001A626F" w:rsidRPr="001A626F" w:rsidRDefault="001A626F" w:rsidP="001A626F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17"/>
                <w:szCs w:val="17"/>
                <w:u w:val="single"/>
              </w:rPr>
            </w:pPr>
            <w:r w:rsidRPr="001A626F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t xml:space="preserve">Projekty oceniane są w płaszczyznach dopuszczalności, administracyjności, wykonalności oraz jakości. Do każdej z płaszczyzn oceny przyporządkowano odpowiednie kryteria. Ocena spełniania każdego z kryteriów jest przeprowadzana zgodnie z zasadą dwóch par oczu, przez co najmniej dwóch członków KOP. Ocena kryteriów dopuszczalności, administracyjności </w:t>
            </w:r>
            <w:r w:rsidRPr="001A626F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br/>
              <w:t xml:space="preserve">i wykonalności jest dokonywana pod kątem spełniania bądź niespełniania danego kryterium, tj. przypisaniu wartości logicznych tak/nie. Ocena negatywna przynajmniej jednego kryterium skutkuje uzyskaniem negatywnej oceny przez projekt w rozumieniu art. 53 ust. 2 ustawy. Dopuszcza się możliwość warunkowej akceptacji oznaczonych w karcie oceny kryteriów. </w:t>
            </w:r>
            <w:r w:rsidRPr="001A626F">
              <w:rPr>
                <w:rFonts w:ascii="Arial" w:eastAsia="Times New Roman" w:hAnsi="Arial" w:cs="Arial"/>
                <w:bCs/>
                <w:i/>
                <w:sz w:val="17"/>
                <w:szCs w:val="17"/>
              </w:rPr>
              <w:br/>
              <w:t>W takim przypadku projekt może otrzymać pozytywną ocenę z zastrzeżeniem przedstawienia przez wnioskodawcę w oznaczonym terminie określonych dokumentów lub informacji. Ocena w oparciu o kryteria jakości polega na przyznaniu każdemu z kryteriów stosownej liczby punktów.</w:t>
            </w:r>
          </w:p>
          <w:p w:rsidR="001A626F" w:rsidRDefault="001A626F" w:rsidP="001A626F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1A626F">
              <w:rPr>
                <w:rFonts w:ascii="Arial" w:hAnsi="Arial" w:cs="Arial"/>
                <w:sz w:val="17"/>
                <w:szCs w:val="17"/>
                <w:u w:val="single"/>
              </w:rPr>
              <w:t xml:space="preserve">Zmieniono na: </w:t>
            </w:r>
          </w:p>
          <w:p w:rsidR="001A626F" w:rsidRPr="00DC1E2A" w:rsidRDefault="001A626F" w:rsidP="00F658E7">
            <w:pPr>
              <w:spacing w:line="276" w:lineRule="auto"/>
              <w:jc w:val="both"/>
              <w:rPr>
                <w:rFonts w:ascii="Arial" w:hAnsi="Arial" w:cs="Arial"/>
                <w:i/>
                <w:sz w:val="17"/>
                <w:szCs w:val="17"/>
                <w:u w:val="single"/>
              </w:rPr>
            </w:pPr>
            <w:r w:rsidRPr="001A626F">
              <w:rPr>
                <w:rFonts w:ascii="Arial" w:hAnsi="Arial" w:cs="Arial"/>
                <w:bCs/>
                <w:i/>
                <w:sz w:val="17"/>
                <w:szCs w:val="17"/>
              </w:rPr>
              <w:t xml:space="preserve">Projekty oceniane są w płaszczyznach dopuszczalności, administracyjności, wykonalności oraz jakości. Do każdej z płaszczyzn oceny przyporządkowano odpowiednie kryteria. Ocena kryteriów dopuszczalności, administracyjności i wykonalności jest dokonywana pod kątem spełniania bądź niespełniania danego kryterium, tj. przypisaniu wartości logicznych tak/nie. Ocena negatywna przynajmniej jednego kryterium skutkuje uzyskaniem negatywnej oceny przez projekt w rozumieniu art. 53 ust. 2 ustawy. Dopuszcza się możliwość warunkowej akceptacji oznaczonych w karcie oceny kryteriów. W takim </w:t>
            </w:r>
            <w:r w:rsidRPr="001A626F">
              <w:rPr>
                <w:rFonts w:ascii="Arial" w:hAnsi="Arial" w:cs="Arial"/>
                <w:bCs/>
                <w:i/>
                <w:sz w:val="17"/>
                <w:szCs w:val="17"/>
              </w:rPr>
              <w:lastRenderedPageBreak/>
              <w:t>przypadku projekt może otrzymać pozytywną ocenę z zastrzeżeniem przedstawienia przez wnioskodawcę w oznaczonym terminie określonych dokumentów lub informacji. Ocena w oparciu o kryteria jakości polega na przyznaniu każdemu z kryteriów stosownej liczby punktów.</w:t>
            </w:r>
          </w:p>
        </w:tc>
        <w:tc>
          <w:tcPr>
            <w:tcW w:w="2841" w:type="dxa"/>
          </w:tcPr>
          <w:p w:rsidR="00146AAD" w:rsidRPr="007B1B31" w:rsidRDefault="001A626F" w:rsidP="001A626F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7"/>
                <w:szCs w:val="17"/>
              </w:rPr>
            </w:pPr>
            <w:r w:rsidRPr="00617790">
              <w:rPr>
                <w:rFonts w:ascii="Arial" w:hAnsi="Arial" w:cs="Arial"/>
                <w:sz w:val="17"/>
                <w:szCs w:val="17"/>
              </w:rPr>
              <w:lastRenderedPageBreak/>
              <w:t>W celu dostosowania zapisów dokumentacji konkursowej do obowiązujących przepisów prawa.</w:t>
            </w:r>
          </w:p>
        </w:tc>
        <w:tc>
          <w:tcPr>
            <w:tcW w:w="1553" w:type="dxa"/>
            <w:shd w:val="clear" w:color="auto" w:fill="auto"/>
          </w:tcPr>
          <w:p w:rsidR="00146AAD" w:rsidRPr="007B1B31" w:rsidRDefault="008D0A06" w:rsidP="008D0A06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27.04.2017</w:t>
            </w:r>
          </w:p>
        </w:tc>
      </w:tr>
      <w:tr w:rsidR="00E84AE7" w:rsidRPr="007B1B31" w:rsidTr="008D0A06">
        <w:tc>
          <w:tcPr>
            <w:tcW w:w="563" w:type="dxa"/>
            <w:vAlign w:val="center"/>
          </w:tcPr>
          <w:p w:rsidR="00E84AE7" w:rsidRPr="00620926" w:rsidRDefault="00E84AE7" w:rsidP="00F658E7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 xml:space="preserve">4. </w:t>
            </w:r>
          </w:p>
        </w:tc>
        <w:tc>
          <w:tcPr>
            <w:tcW w:w="1540" w:type="dxa"/>
            <w:vAlign w:val="center"/>
          </w:tcPr>
          <w:p w:rsidR="00E84AE7" w:rsidRPr="00E84AE7" w:rsidRDefault="00E84AE7" w:rsidP="001A626F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AE7">
              <w:rPr>
                <w:rFonts w:ascii="Arial" w:hAnsi="Arial" w:cs="Arial"/>
                <w:sz w:val="17"/>
                <w:szCs w:val="17"/>
              </w:rPr>
              <w:t xml:space="preserve">Załącznik nr 3 do regulaminu konkursu: Wzór umowy o dofinansowanie </w:t>
            </w:r>
            <w:r w:rsidRPr="00E84AE7">
              <w:rPr>
                <w:rFonts w:ascii="Arial" w:eastAsia="Times New Roman" w:hAnsi="Arial" w:cs="Arial"/>
                <w:bCs/>
                <w:sz w:val="17"/>
                <w:szCs w:val="17"/>
              </w:rPr>
              <w:t>wraz z załącznikami</w:t>
            </w:r>
          </w:p>
        </w:tc>
        <w:tc>
          <w:tcPr>
            <w:tcW w:w="1698" w:type="dxa"/>
            <w:vAlign w:val="center"/>
          </w:tcPr>
          <w:p w:rsidR="00E84AE7" w:rsidRPr="00E84AE7" w:rsidRDefault="00E84AE7" w:rsidP="00E84AE7">
            <w:pPr>
              <w:pStyle w:val="Defaul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4AE7">
              <w:rPr>
                <w:rFonts w:ascii="Arial" w:hAnsi="Arial" w:cs="Arial"/>
                <w:color w:val="auto"/>
                <w:sz w:val="17"/>
                <w:szCs w:val="17"/>
              </w:rPr>
              <w:t>§ 7</w:t>
            </w:r>
            <w:r>
              <w:rPr>
                <w:rFonts w:ascii="Arial" w:hAnsi="Arial" w:cs="Arial"/>
                <w:color w:val="auto"/>
                <w:sz w:val="17"/>
                <w:szCs w:val="17"/>
              </w:rPr>
              <w:t xml:space="preserve"> u</w:t>
            </w:r>
            <w:r w:rsidRPr="00E84AE7">
              <w:rPr>
                <w:rFonts w:ascii="Arial" w:hAnsi="Arial" w:cs="Arial"/>
                <w:sz w:val="17"/>
                <w:szCs w:val="17"/>
              </w:rPr>
              <w:t>st. 5</w:t>
            </w:r>
          </w:p>
        </w:tc>
        <w:tc>
          <w:tcPr>
            <w:tcW w:w="6264" w:type="dxa"/>
            <w:vAlign w:val="center"/>
          </w:tcPr>
          <w:p w:rsidR="00E84AE7" w:rsidRPr="00E84AE7" w:rsidRDefault="00E84AE7" w:rsidP="00E84AE7">
            <w:pPr>
              <w:spacing w:line="276" w:lineRule="auto"/>
              <w:jc w:val="both"/>
              <w:rPr>
                <w:rFonts w:ascii="Arial" w:eastAsia="Times New Roman" w:hAnsi="Arial" w:cs="Arial"/>
                <w:sz w:val="17"/>
                <w:szCs w:val="17"/>
                <w:u w:val="single"/>
              </w:rPr>
            </w:pPr>
            <w:r w:rsidRPr="00E84AE7">
              <w:rPr>
                <w:rFonts w:ascii="Arial" w:eastAsia="Times New Roman" w:hAnsi="Arial" w:cs="Arial"/>
                <w:sz w:val="17"/>
                <w:szCs w:val="17"/>
                <w:u w:val="single"/>
              </w:rPr>
              <w:t>Zapis:</w:t>
            </w:r>
          </w:p>
          <w:p w:rsidR="00E84AE7" w:rsidRPr="00E84AE7" w:rsidRDefault="00E84AE7" w:rsidP="001A626F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17"/>
                <w:szCs w:val="17"/>
                <w:u w:val="single"/>
              </w:rPr>
            </w:pPr>
            <w:r w:rsidRPr="00E84AE7">
              <w:rPr>
                <w:rFonts w:ascii="Arial" w:hAnsi="Arial" w:cs="Arial"/>
                <w:i/>
                <w:sz w:val="17"/>
                <w:szCs w:val="17"/>
              </w:rPr>
              <w:t xml:space="preserve">Beneficjent zobowiązuje się do udostępniania infrastruktury badawczej wspartej w ramach projektu dla szeregu użytkowników (w tym przedsiębiorstw) na przejrzystych i </w:t>
            </w:r>
            <w:proofErr w:type="spellStart"/>
            <w:r w:rsidRPr="00E84AE7">
              <w:rPr>
                <w:rFonts w:ascii="Arial" w:hAnsi="Arial" w:cs="Arial"/>
                <w:i/>
                <w:sz w:val="17"/>
                <w:szCs w:val="17"/>
              </w:rPr>
              <w:t>niedyskryminacyjnych</w:t>
            </w:r>
            <w:proofErr w:type="spellEnd"/>
            <w:r w:rsidRPr="00E84AE7">
              <w:rPr>
                <w:rFonts w:ascii="Arial" w:hAnsi="Arial" w:cs="Arial"/>
                <w:i/>
                <w:sz w:val="17"/>
                <w:szCs w:val="17"/>
              </w:rPr>
              <w:t xml:space="preserve"> zasadach, a cena pobierana za prowadzenie i użytkowanie infrastruktury powinna odpowiadać cenie rynkowej. Przedsiębiorstwom, które finansują co najmniej 10% wartości kosztów kwalifikowalnych  związanych z częścią gospodarczą projektu można przyznać preferencyjny dostęp do infrastruktury badawczej na bardziej korzystnych warunkach. Aby uniknąć nadmiernej rekompensaty, dostęp ten musi być proporcjonalny do wkładu przedsiębiorstwa w koszty inwestycji, a warunki te należy podawać do wiadomości publicznej.</w:t>
            </w:r>
          </w:p>
          <w:p w:rsidR="00E84AE7" w:rsidRPr="00E84AE7" w:rsidRDefault="00E84AE7" w:rsidP="00E84AE7">
            <w:pPr>
              <w:spacing w:line="276" w:lineRule="auto"/>
              <w:jc w:val="both"/>
              <w:rPr>
                <w:rFonts w:ascii="Arial" w:eastAsia="Times New Roman" w:hAnsi="Arial" w:cs="Arial"/>
                <w:sz w:val="17"/>
                <w:szCs w:val="17"/>
                <w:u w:val="single"/>
              </w:rPr>
            </w:pPr>
            <w:r w:rsidRPr="00E84AE7">
              <w:rPr>
                <w:rFonts w:ascii="Arial" w:eastAsia="Times New Roman" w:hAnsi="Arial" w:cs="Arial"/>
                <w:sz w:val="17"/>
                <w:szCs w:val="17"/>
                <w:u w:val="single"/>
              </w:rPr>
              <w:t>Zmieniono na:</w:t>
            </w:r>
          </w:p>
          <w:p w:rsidR="00E84AE7" w:rsidRPr="00E84AE7" w:rsidRDefault="00E84AE7" w:rsidP="00E84AE7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sz w:val="17"/>
                <w:szCs w:val="17"/>
                <w:u w:val="single"/>
              </w:rPr>
            </w:pPr>
            <w:r w:rsidRPr="00E84AE7">
              <w:rPr>
                <w:rFonts w:ascii="Arial" w:hAnsi="Arial" w:cs="Arial"/>
                <w:i/>
                <w:sz w:val="17"/>
                <w:szCs w:val="17"/>
              </w:rPr>
              <w:t xml:space="preserve">Beneficjent zobowiązuje się do udostępniania infrastruktury badawczej wspartej w ramach projektu dla szeregu użytkowników (w tym przedsiębiorstw) na przejrzystych i </w:t>
            </w:r>
            <w:proofErr w:type="spellStart"/>
            <w:r w:rsidRPr="00E84AE7">
              <w:rPr>
                <w:rFonts w:ascii="Arial" w:hAnsi="Arial" w:cs="Arial"/>
                <w:i/>
                <w:sz w:val="17"/>
                <w:szCs w:val="17"/>
              </w:rPr>
              <w:t>niedyskryminacyjnych</w:t>
            </w:r>
            <w:proofErr w:type="spellEnd"/>
            <w:r w:rsidRPr="00E84AE7">
              <w:rPr>
                <w:rFonts w:ascii="Arial" w:hAnsi="Arial" w:cs="Arial"/>
                <w:i/>
                <w:sz w:val="17"/>
                <w:szCs w:val="17"/>
              </w:rPr>
              <w:t xml:space="preserve"> zasadach, a cena pobierana za prowadzenie i użytkowanie infrastruktury powinna odpowiadać cenie rynkowej. Przedsiębiorstwom, które finansują co najmniej 10% wartości kosztów kwalifikowalnych  inwestycji w infrastrukturę, w rozumieniu rozporządzenia Komisji (UE) nr 651/2014</w:t>
            </w:r>
            <w:r w:rsidRPr="00E84AE7">
              <w:rPr>
                <w:rFonts w:ascii="Arial" w:hAnsi="Arial" w:cs="Arial"/>
                <w:i/>
                <w:sz w:val="17"/>
                <w:szCs w:val="17"/>
                <w:lang w:eastAsia="en-US"/>
              </w:rPr>
              <w:t>,</w:t>
            </w:r>
            <w:r w:rsidRPr="00E84AE7">
              <w:rPr>
                <w:rFonts w:ascii="Arial" w:eastAsia="Times New Roman" w:hAnsi="Arial" w:cs="Arial"/>
                <w:i/>
                <w:sz w:val="17"/>
                <w:szCs w:val="17"/>
              </w:rPr>
              <w:t xml:space="preserve"> </w:t>
            </w:r>
            <w:r w:rsidRPr="00E84AE7">
              <w:rPr>
                <w:rFonts w:ascii="Arial" w:hAnsi="Arial" w:cs="Arial"/>
                <w:i/>
                <w:sz w:val="17"/>
                <w:szCs w:val="17"/>
              </w:rPr>
              <w:t>można przyznać preferencyjny dostęp do infrastruktury badawczej na bardziej korzystnych warunkach. Aby uniknąć nadmiernej rekompensaty, dostęp ten musi być proporcjonalny do wkładu przedsiębiorstwa w koszty inwestycji, a warunki te należy podawać do wiadomości publicznej.</w:t>
            </w:r>
          </w:p>
          <w:p w:rsidR="00E84AE7" w:rsidRPr="00E84AE7" w:rsidRDefault="00E84AE7" w:rsidP="001A626F">
            <w:pPr>
              <w:spacing w:line="276" w:lineRule="auto"/>
              <w:jc w:val="both"/>
              <w:rPr>
                <w:rFonts w:ascii="Arial" w:eastAsia="Times New Roman" w:hAnsi="Arial" w:cs="Arial"/>
                <w:sz w:val="17"/>
                <w:szCs w:val="17"/>
                <w:u w:val="single"/>
              </w:rPr>
            </w:pPr>
          </w:p>
        </w:tc>
        <w:tc>
          <w:tcPr>
            <w:tcW w:w="2841" w:type="dxa"/>
          </w:tcPr>
          <w:p w:rsidR="00A74BCF" w:rsidRPr="00146AAD" w:rsidRDefault="00A74BCF" w:rsidP="00A74BCF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46AAD">
              <w:rPr>
                <w:rFonts w:ascii="Arial" w:hAnsi="Arial" w:cs="Arial"/>
                <w:sz w:val="17"/>
                <w:szCs w:val="17"/>
              </w:rPr>
              <w:t xml:space="preserve">W celu </w:t>
            </w:r>
            <w:r>
              <w:rPr>
                <w:rFonts w:ascii="Arial" w:hAnsi="Arial" w:cs="Arial"/>
                <w:sz w:val="17"/>
                <w:szCs w:val="17"/>
              </w:rPr>
              <w:t xml:space="preserve">skorygowania </w:t>
            </w:r>
            <w:r w:rsidRPr="00146AAD">
              <w:rPr>
                <w:rFonts w:ascii="Arial" w:hAnsi="Arial" w:cs="Arial"/>
                <w:sz w:val="17"/>
                <w:szCs w:val="17"/>
              </w:rPr>
              <w:t>i ujednolicenia zapisów dokumenta</w:t>
            </w:r>
            <w:r>
              <w:rPr>
                <w:rFonts w:ascii="Arial" w:hAnsi="Arial" w:cs="Arial"/>
                <w:sz w:val="17"/>
                <w:szCs w:val="17"/>
              </w:rPr>
              <w:t xml:space="preserve">cji konkursowej w związku z rekomendacją Ministerstwa Rozwoju i Finansów odnośnie interpretacji przepisów prawa. </w:t>
            </w:r>
          </w:p>
          <w:p w:rsidR="00E84AE7" w:rsidRPr="00617790" w:rsidRDefault="00E84AE7" w:rsidP="001A626F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53" w:type="dxa"/>
            <w:shd w:val="clear" w:color="auto" w:fill="auto"/>
          </w:tcPr>
          <w:p w:rsidR="00E84AE7" w:rsidRPr="007B1B31" w:rsidRDefault="008D0A06" w:rsidP="008D0A06">
            <w:pPr>
              <w:spacing w:line="276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27.04.2017</w:t>
            </w:r>
          </w:p>
        </w:tc>
      </w:tr>
    </w:tbl>
    <w:p w:rsidR="00CD08FF" w:rsidRPr="00A253AF" w:rsidRDefault="00CD08FF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A253AF" w:rsidSect="00A253AF">
      <w:headerReference w:type="default" r:id="rId9"/>
      <w:footerReference w:type="default" r:id="rId10"/>
      <w:pgSz w:w="16838" w:h="11906" w:orient="landscape"/>
      <w:pgMar w:top="1417" w:right="1383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E7" w:rsidRDefault="00E84AE7" w:rsidP="00EA4F46">
      <w:pPr>
        <w:spacing w:line="240" w:lineRule="auto"/>
      </w:pPr>
      <w:r>
        <w:separator/>
      </w:r>
    </w:p>
  </w:endnote>
  <w:endnote w:type="continuationSeparator" w:id="0">
    <w:p w:rsidR="00E84AE7" w:rsidRDefault="00E84AE7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AE7" w:rsidRPr="00C036EF" w:rsidRDefault="00E84AE7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F9473E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F9473E" w:rsidRPr="00C036EF">
      <w:rPr>
        <w:rFonts w:ascii="Arial" w:hAnsi="Arial" w:cs="Arial"/>
        <w:sz w:val="20"/>
        <w:szCs w:val="20"/>
      </w:rPr>
      <w:fldChar w:fldCharType="separate"/>
    </w:r>
    <w:r w:rsidR="008D0A06">
      <w:rPr>
        <w:rFonts w:ascii="Arial" w:hAnsi="Arial" w:cs="Arial"/>
        <w:noProof/>
        <w:sz w:val="20"/>
        <w:szCs w:val="20"/>
      </w:rPr>
      <w:t>2</w:t>
    </w:r>
    <w:r w:rsidR="00F9473E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F9473E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F9473E" w:rsidRPr="00C036EF">
      <w:rPr>
        <w:rFonts w:ascii="Arial" w:hAnsi="Arial" w:cs="Arial"/>
        <w:sz w:val="20"/>
        <w:szCs w:val="20"/>
      </w:rPr>
      <w:fldChar w:fldCharType="separate"/>
    </w:r>
    <w:r w:rsidR="008D0A06">
      <w:rPr>
        <w:rFonts w:ascii="Arial" w:hAnsi="Arial" w:cs="Arial"/>
        <w:noProof/>
        <w:sz w:val="20"/>
        <w:szCs w:val="20"/>
      </w:rPr>
      <w:t>3</w:t>
    </w:r>
    <w:r w:rsidR="00F9473E" w:rsidRPr="00C036EF">
      <w:rPr>
        <w:rFonts w:ascii="Arial" w:hAnsi="Arial" w:cs="Arial"/>
        <w:sz w:val="20"/>
        <w:szCs w:val="20"/>
      </w:rPr>
      <w:fldChar w:fldCharType="end"/>
    </w:r>
  </w:p>
  <w:p w:rsidR="00E84AE7" w:rsidRDefault="00E84AE7" w:rsidP="004E59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E7" w:rsidRDefault="00E84AE7" w:rsidP="00EA4F46">
      <w:pPr>
        <w:spacing w:line="240" w:lineRule="auto"/>
      </w:pPr>
      <w:r>
        <w:separator/>
      </w:r>
    </w:p>
  </w:footnote>
  <w:footnote w:type="continuationSeparator" w:id="0">
    <w:p w:rsidR="00E84AE7" w:rsidRDefault="00E84AE7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AE7" w:rsidRPr="00666AF9" w:rsidRDefault="00E84AE7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E84AE7" w:rsidRPr="00065E13" w:rsidRDefault="00E84AE7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 xml:space="preserve">Działanie </w:t>
    </w:r>
    <w:r w:rsidR="00FA128C" w:rsidRPr="00FA128C">
      <w:rPr>
        <w:rFonts w:ascii="Arial" w:hAnsi="Arial" w:cs="Arial"/>
        <w:b w:val="0"/>
        <w:color w:val="auto"/>
        <w:sz w:val="14"/>
        <w:szCs w:val="14"/>
      </w:rPr>
      <w:t>1.3 Rozwój publicznej infrastruktury badawczej</w:t>
    </w:r>
  </w:p>
  <w:p w:rsidR="00E84AE7" w:rsidRPr="00DA392E" w:rsidRDefault="00E84AE7" w:rsidP="004E59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13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strike w:val="0"/>
      </w:rPr>
    </w:lvl>
  </w:abstractNum>
  <w:abstractNum w:abstractNumId="5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>
    <w:nsid w:val="040970FE"/>
    <w:multiLevelType w:val="hybridMultilevel"/>
    <w:tmpl w:val="A3A0987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1660EFD"/>
    <w:multiLevelType w:val="hybridMultilevel"/>
    <w:tmpl w:val="08E0DDB2"/>
    <w:lvl w:ilvl="0" w:tplc="74FEA22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9">
    <w:nsid w:val="2AF81852"/>
    <w:multiLevelType w:val="hybridMultilevel"/>
    <w:tmpl w:val="5BB8FFE2"/>
    <w:lvl w:ilvl="0" w:tplc="A6F45F8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80828"/>
    <w:multiLevelType w:val="hybridMultilevel"/>
    <w:tmpl w:val="AC388FD4"/>
    <w:lvl w:ilvl="0" w:tplc="3DE25C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D41A8"/>
    <w:multiLevelType w:val="hybridMultilevel"/>
    <w:tmpl w:val="B2DE6938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C71FA"/>
    <w:multiLevelType w:val="hybridMultilevel"/>
    <w:tmpl w:val="5B262F16"/>
    <w:lvl w:ilvl="0" w:tplc="3D8C7C0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C24B51"/>
    <w:multiLevelType w:val="hybridMultilevel"/>
    <w:tmpl w:val="6C1CCE50"/>
    <w:lvl w:ilvl="0" w:tplc="44025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36DA8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A8E5CF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55E4B46">
      <w:start w:val="1"/>
      <w:numFmt w:val="decimal"/>
      <w:lvlText w:val="%7."/>
      <w:lvlJc w:val="left"/>
      <w:pPr>
        <w:ind w:left="927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C0084"/>
    <w:multiLevelType w:val="multilevel"/>
    <w:tmpl w:val="BBDED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60991654"/>
    <w:multiLevelType w:val="hybridMultilevel"/>
    <w:tmpl w:val="5896CEBE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5A4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9198A"/>
    <w:multiLevelType w:val="hybridMultilevel"/>
    <w:tmpl w:val="F17CACDA"/>
    <w:lvl w:ilvl="0" w:tplc="735C083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843C81"/>
    <w:multiLevelType w:val="hybridMultilevel"/>
    <w:tmpl w:val="2E50FFA2"/>
    <w:lvl w:ilvl="0" w:tplc="A204077E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E41AB5"/>
    <w:multiLevelType w:val="multilevel"/>
    <w:tmpl w:val="BBDED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75465176"/>
    <w:multiLevelType w:val="hybridMultilevel"/>
    <w:tmpl w:val="C6DEE522"/>
    <w:lvl w:ilvl="0" w:tplc="5EBA98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14"/>
  </w:num>
  <w:num w:numId="7">
    <w:abstractNumId w:val="8"/>
  </w:num>
  <w:num w:numId="8">
    <w:abstractNumId w:val="23"/>
  </w:num>
  <w:num w:numId="9">
    <w:abstractNumId w:val="19"/>
  </w:num>
  <w:num w:numId="10">
    <w:abstractNumId w:val="17"/>
  </w:num>
  <w:num w:numId="11">
    <w:abstractNumId w:val="22"/>
  </w:num>
  <w:num w:numId="12">
    <w:abstractNumId w:val="21"/>
  </w:num>
  <w:num w:numId="13">
    <w:abstractNumId w:val="20"/>
  </w:num>
  <w:num w:numId="14">
    <w:abstractNumId w:val="7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6"/>
  </w:num>
  <w:num w:numId="21">
    <w:abstractNumId w:val="11"/>
  </w:num>
  <w:num w:numId="22">
    <w:abstractNumId w:val="4"/>
  </w:num>
  <w:num w:numId="23">
    <w:abstractNumId w:val="9"/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</w:num>
  <w:num w:numId="27">
    <w:abstractNumId w:val="10"/>
  </w:num>
  <w:num w:numId="28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14F7C"/>
    <w:rsid w:val="000245AC"/>
    <w:rsid w:val="00042302"/>
    <w:rsid w:val="00054E2D"/>
    <w:rsid w:val="00061BE5"/>
    <w:rsid w:val="00065E13"/>
    <w:rsid w:val="00065F13"/>
    <w:rsid w:val="0007058F"/>
    <w:rsid w:val="00076254"/>
    <w:rsid w:val="00082112"/>
    <w:rsid w:val="00083E57"/>
    <w:rsid w:val="00085D62"/>
    <w:rsid w:val="00092377"/>
    <w:rsid w:val="000A00C9"/>
    <w:rsid w:val="000A1A34"/>
    <w:rsid w:val="000A6F63"/>
    <w:rsid w:val="000A7AC3"/>
    <w:rsid w:val="000B2D51"/>
    <w:rsid w:val="000B494A"/>
    <w:rsid w:val="000B7A39"/>
    <w:rsid w:val="000C5E1A"/>
    <w:rsid w:val="000D043A"/>
    <w:rsid w:val="000D32D0"/>
    <w:rsid w:val="000D3C03"/>
    <w:rsid w:val="000D4B2D"/>
    <w:rsid w:val="000D7EC0"/>
    <w:rsid w:val="000E4D3D"/>
    <w:rsid w:val="000F13B8"/>
    <w:rsid w:val="000F36C7"/>
    <w:rsid w:val="000F58C1"/>
    <w:rsid w:val="001004AC"/>
    <w:rsid w:val="001026FA"/>
    <w:rsid w:val="00107DAA"/>
    <w:rsid w:val="00112932"/>
    <w:rsid w:val="00115A85"/>
    <w:rsid w:val="0013109C"/>
    <w:rsid w:val="00141299"/>
    <w:rsid w:val="001461E8"/>
    <w:rsid w:val="00146251"/>
    <w:rsid w:val="00146AAD"/>
    <w:rsid w:val="001470AD"/>
    <w:rsid w:val="00150259"/>
    <w:rsid w:val="00152AEA"/>
    <w:rsid w:val="001579BD"/>
    <w:rsid w:val="00166D59"/>
    <w:rsid w:val="00175299"/>
    <w:rsid w:val="00177601"/>
    <w:rsid w:val="0018434D"/>
    <w:rsid w:val="0018554D"/>
    <w:rsid w:val="0019086E"/>
    <w:rsid w:val="00193E88"/>
    <w:rsid w:val="00195026"/>
    <w:rsid w:val="0019697C"/>
    <w:rsid w:val="00196AA5"/>
    <w:rsid w:val="00196B31"/>
    <w:rsid w:val="00197608"/>
    <w:rsid w:val="001A626F"/>
    <w:rsid w:val="001A7DB3"/>
    <w:rsid w:val="001B4D1D"/>
    <w:rsid w:val="001C55FD"/>
    <w:rsid w:val="001D023A"/>
    <w:rsid w:val="001D3505"/>
    <w:rsid w:val="001D4A2C"/>
    <w:rsid w:val="001E044E"/>
    <w:rsid w:val="001F5289"/>
    <w:rsid w:val="001F5CDD"/>
    <w:rsid w:val="00207C3A"/>
    <w:rsid w:val="00213421"/>
    <w:rsid w:val="00223FE0"/>
    <w:rsid w:val="00226A2E"/>
    <w:rsid w:val="00226DCA"/>
    <w:rsid w:val="002506DF"/>
    <w:rsid w:val="0025330E"/>
    <w:rsid w:val="00260016"/>
    <w:rsid w:val="00270952"/>
    <w:rsid w:val="00273F59"/>
    <w:rsid w:val="00291802"/>
    <w:rsid w:val="002A338B"/>
    <w:rsid w:val="002A78BA"/>
    <w:rsid w:val="002B6116"/>
    <w:rsid w:val="002B78E6"/>
    <w:rsid w:val="002C3C7D"/>
    <w:rsid w:val="002C45C9"/>
    <w:rsid w:val="002D21BD"/>
    <w:rsid w:val="002D4C0E"/>
    <w:rsid w:val="002E006A"/>
    <w:rsid w:val="002E0524"/>
    <w:rsid w:val="002E1DEA"/>
    <w:rsid w:val="002E2DDE"/>
    <w:rsid w:val="002E3871"/>
    <w:rsid w:val="002E75CB"/>
    <w:rsid w:val="002F063D"/>
    <w:rsid w:val="002F676B"/>
    <w:rsid w:val="00305FE0"/>
    <w:rsid w:val="00310A50"/>
    <w:rsid w:val="003116E4"/>
    <w:rsid w:val="0031380D"/>
    <w:rsid w:val="003170A7"/>
    <w:rsid w:val="00327780"/>
    <w:rsid w:val="003325F1"/>
    <w:rsid w:val="00335FCA"/>
    <w:rsid w:val="003360C0"/>
    <w:rsid w:val="00342C16"/>
    <w:rsid w:val="00344E9F"/>
    <w:rsid w:val="003608E8"/>
    <w:rsid w:val="003633DF"/>
    <w:rsid w:val="00367D01"/>
    <w:rsid w:val="0037218A"/>
    <w:rsid w:val="003728B5"/>
    <w:rsid w:val="00390413"/>
    <w:rsid w:val="00390E54"/>
    <w:rsid w:val="00391B0B"/>
    <w:rsid w:val="00396837"/>
    <w:rsid w:val="003A6C2E"/>
    <w:rsid w:val="003B1357"/>
    <w:rsid w:val="003B2C0A"/>
    <w:rsid w:val="003B4332"/>
    <w:rsid w:val="003C1E87"/>
    <w:rsid w:val="003C41C1"/>
    <w:rsid w:val="003C59FC"/>
    <w:rsid w:val="003D5D04"/>
    <w:rsid w:val="003F4E5B"/>
    <w:rsid w:val="003F77EC"/>
    <w:rsid w:val="00415BCC"/>
    <w:rsid w:val="00421DD2"/>
    <w:rsid w:val="0042320A"/>
    <w:rsid w:val="00423630"/>
    <w:rsid w:val="0042505A"/>
    <w:rsid w:val="00431613"/>
    <w:rsid w:val="004318A5"/>
    <w:rsid w:val="00432DA5"/>
    <w:rsid w:val="004332D1"/>
    <w:rsid w:val="0044239E"/>
    <w:rsid w:val="00442CFF"/>
    <w:rsid w:val="00443D93"/>
    <w:rsid w:val="00446277"/>
    <w:rsid w:val="004502B5"/>
    <w:rsid w:val="00457CF0"/>
    <w:rsid w:val="004824F7"/>
    <w:rsid w:val="00487B91"/>
    <w:rsid w:val="00491BDC"/>
    <w:rsid w:val="00494C14"/>
    <w:rsid w:val="00496FAC"/>
    <w:rsid w:val="004A36AA"/>
    <w:rsid w:val="004A57E5"/>
    <w:rsid w:val="004B70CE"/>
    <w:rsid w:val="004C0DD4"/>
    <w:rsid w:val="004C40B9"/>
    <w:rsid w:val="004C6C76"/>
    <w:rsid w:val="004C7EAC"/>
    <w:rsid w:val="004D3BE0"/>
    <w:rsid w:val="004E374A"/>
    <w:rsid w:val="004E5965"/>
    <w:rsid w:val="004E6B40"/>
    <w:rsid w:val="004E7605"/>
    <w:rsid w:val="004F3033"/>
    <w:rsid w:val="004F3A96"/>
    <w:rsid w:val="004F6147"/>
    <w:rsid w:val="00500B08"/>
    <w:rsid w:val="00506348"/>
    <w:rsid w:val="005066C4"/>
    <w:rsid w:val="0050765E"/>
    <w:rsid w:val="005156DC"/>
    <w:rsid w:val="00517579"/>
    <w:rsid w:val="005415F5"/>
    <w:rsid w:val="00560F9C"/>
    <w:rsid w:val="00561511"/>
    <w:rsid w:val="00570223"/>
    <w:rsid w:val="00570F23"/>
    <w:rsid w:val="005909A3"/>
    <w:rsid w:val="00593AD0"/>
    <w:rsid w:val="005A26E7"/>
    <w:rsid w:val="005A2CCD"/>
    <w:rsid w:val="005B2AB3"/>
    <w:rsid w:val="005B49D8"/>
    <w:rsid w:val="005B4C21"/>
    <w:rsid w:val="005C4BA0"/>
    <w:rsid w:val="005C7593"/>
    <w:rsid w:val="005D148C"/>
    <w:rsid w:val="005D3C97"/>
    <w:rsid w:val="005D7425"/>
    <w:rsid w:val="005E0808"/>
    <w:rsid w:val="005E2293"/>
    <w:rsid w:val="005E396A"/>
    <w:rsid w:val="005F160E"/>
    <w:rsid w:val="006133B1"/>
    <w:rsid w:val="00617790"/>
    <w:rsid w:val="00620926"/>
    <w:rsid w:val="00632199"/>
    <w:rsid w:val="00632A87"/>
    <w:rsid w:val="00635736"/>
    <w:rsid w:val="00640AD9"/>
    <w:rsid w:val="00642CEF"/>
    <w:rsid w:val="00644226"/>
    <w:rsid w:val="00654297"/>
    <w:rsid w:val="00656D30"/>
    <w:rsid w:val="00657C0E"/>
    <w:rsid w:val="0066201B"/>
    <w:rsid w:val="00662E4A"/>
    <w:rsid w:val="00664337"/>
    <w:rsid w:val="00681688"/>
    <w:rsid w:val="00691296"/>
    <w:rsid w:val="006B14AD"/>
    <w:rsid w:val="006B2742"/>
    <w:rsid w:val="006B7BAD"/>
    <w:rsid w:val="006D3895"/>
    <w:rsid w:val="006E3EFD"/>
    <w:rsid w:val="006E6A94"/>
    <w:rsid w:val="00702E4A"/>
    <w:rsid w:val="00703F19"/>
    <w:rsid w:val="00704DDD"/>
    <w:rsid w:val="0071026E"/>
    <w:rsid w:val="00710E9C"/>
    <w:rsid w:val="0071726D"/>
    <w:rsid w:val="00723207"/>
    <w:rsid w:val="0073564D"/>
    <w:rsid w:val="007358FD"/>
    <w:rsid w:val="00735C27"/>
    <w:rsid w:val="00737145"/>
    <w:rsid w:val="00747EE0"/>
    <w:rsid w:val="007507F9"/>
    <w:rsid w:val="00750B6A"/>
    <w:rsid w:val="00763FC7"/>
    <w:rsid w:val="00773C02"/>
    <w:rsid w:val="00775A11"/>
    <w:rsid w:val="007815A6"/>
    <w:rsid w:val="00784CF3"/>
    <w:rsid w:val="00785FAD"/>
    <w:rsid w:val="00794EB2"/>
    <w:rsid w:val="007A2433"/>
    <w:rsid w:val="007A57C3"/>
    <w:rsid w:val="007B1B31"/>
    <w:rsid w:val="007B2C43"/>
    <w:rsid w:val="007B4A7D"/>
    <w:rsid w:val="007C61B1"/>
    <w:rsid w:val="007C6846"/>
    <w:rsid w:val="007C77CD"/>
    <w:rsid w:val="007D3A21"/>
    <w:rsid w:val="007D4F53"/>
    <w:rsid w:val="007D5E61"/>
    <w:rsid w:val="007F109A"/>
    <w:rsid w:val="007F5BA2"/>
    <w:rsid w:val="00805D73"/>
    <w:rsid w:val="0080651E"/>
    <w:rsid w:val="00806F6E"/>
    <w:rsid w:val="00817047"/>
    <w:rsid w:val="008170E7"/>
    <w:rsid w:val="00817EC0"/>
    <w:rsid w:val="00821BAD"/>
    <w:rsid w:val="00825114"/>
    <w:rsid w:val="008252FF"/>
    <w:rsid w:val="00830E70"/>
    <w:rsid w:val="008322B1"/>
    <w:rsid w:val="00836B28"/>
    <w:rsid w:val="00843915"/>
    <w:rsid w:val="008458D5"/>
    <w:rsid w:val="00852B32"/>
    <w:rsid w:val="0085324C"/>
    <w:rsid w:val="0085526C"/>
    <w:rsid w:val="00857FA8"/>
    <w:rsid w:val="00864B51"/>
    <w:rsid w:val="0086668A"/>
    <w:rsid w:val="0087050F"/>
    <w:rsid w:val="0087057A"/>
    <w:rsid w:val="00870C1B"/>
    <w:rsid w:val="008734EC"/>
    <w:rsid w:val="00877060"/>
    <w:rsid w:val="0088075C"/>
    <w:rsid w:val="00880FB6"/>
    <w:rsid w:val="008876BB"/>
    <w:rsid w:val="008977CD"/>
    <w:rsid w:val="008A303E"/>
    <w:rsid w:val="008A59BB"/>
    <w:rsid w:val="008A63F5"/>
    <w:rsid w:val="008A6C8A"/>
    <w:rsid w:val="008B653E"/>
    <w:rsid w:val="008C59A0"/>
    <w:rsid w:val="008D0A06"/>
    <w:rsid w:val="008E1BDA"/>
    <w:rsid w:val="008E3024"/>
    <w:rsid w:val="008E3B27"/>
    <w:rsid w:val="008E504C"/>
    <w:rsid w:val="008F5F9B"/>
    <w:rsid w:val="00906BA0"/>
    <w:rsid w:val="00907EF8"/>
    <w:rsid w:val="00927A53"/>
    <w:rsid w:val="00930DCB"/>
    <w:rsid w:val="009451F4"/>
    <w:rsid w:val="0095002C"/>
    <w:rsid w:val="00955AF2"/>
    <w:rsid w:val="0096730F"/>
    <w:rsid w:val="00967EC2"/>
    <w:rsid w:val="00971D8A"/>
    <w:rsid w:val="0097566B"/>
    <w:rsid w:val="00977724"/>
    <w:rsid w:val="009844F6"/>
    <w:rsid w:val="00991362"/>
    <w:rsid w:val="009921C4"/>
    <w:rsid w:val="00994332"/>
    <w:rsid w:val="00994C4A"/>
    <w:rsid w:val="009A1438"/>
    <w:rsid w:val="009A1C15"/>
    <w:rsid w:val="009A294D"/>
    <w:rsid w:val="009A3F2E"/>
    <w:rsid w:val="009A6295"/>
    <w:rsid w:val="009B0CA8"/>
    <w:rsid w:val="009B6D74"/>
    <w:rsid w:val="009C1E38"/>
    <w:rsid w:val="009C724A"/>
    <w:rsid w:val="009D26F3"/>
    <w:rsid w:val="009E51C3"/>
    <w:rsid w:val="009F75F6"/>
    <w:rsid w:val="00A14E2C"/>
    <w:rsid w:val="00A245DF"/>
    <w:rsid w:val="00A253AF"/>
    <w:rsid w:val="00A44CF0"/>
    <w:rsid w:val="00A473F4"/>
    <w:rsid w:val="00A47B9E"/>
    <w:rsid w:val="00A553A4"/>
    <w:rsid w:val="00A60634"/>
    <w:rsid w:val="00A74BCF"/>
    <w:rsid w:val="00A76158"/>
    <w:rsid w:val="00AA16F2"/>
    <w:rsid w:val="00AA30C1"/>
    <w:rsid w:val="00AB699F"/>
    <w:rsid w:val="00AC036D"/>
    <w:rsid w:val="00AC2786"/>
    <w:rsid w:val="00AC49E0"/>
    <w:rsid w:val="00AC5B0D"/>
    <w:rsid w:val="00AC666B"/>
    <w:rsid w:val="00AD57D6"/>
    <w:rsid w:val="00AE21E9"/>
    <w:rsid w:val="00AE3122"/>
    <w:rsid w:val="00AE41BE"/>
    <w:rsid w:val="00AF4B1D"/>
    <w:rsid w:val="00AF7D6D"/>
    <w:rsid w:val="00B069E1"/>
    <w:rsid w:val="00B11809"/>
    <w:rsid w:val="00B14FD0"/>
    <w:rsid w:val="00B20A85"/>
    <w:rsid w:val="00B24ADF"/>
    <w:rsid w:val="00B26387"/>
    <w:rsid w:val="00B363CC"/>
    <w:rsid w:val="00B409BC"/>
    <w:rsid w:val="00B4183F"/>
    <w:rsid w:val="00B5428A"/>
    <w:rsid w:val="00B56544"/>
    <w:rsid w:val="00B63FF1"/>
    <w:rsid w:val="00B731F9"/>
    <w:rsid w:val="00B7647A"/>
    <w:rsid w:val="00B82B01"/>
    <w:rsid w:val="00B82E5E"/>
    <w:rsid w:val="00B91A03"/>
    <w:rsid w:val="00B93F82"/>
    <w:rsid w:val="00BA02F1"/>
    <w:rsid w:val="00BA12B2"/>
    <w:rsid w:val="00BA3A46"/>
    <w:rsid w:val="00BA3C35"/>
    <w:rsid w:val="00BA5042"/>
    <w:rsid w:val="00BA7479"/>
    <w:rsid w:val="00BB4B6E"/>
    <w:rsid w:val="00BB6AA5"/>
    <w:rsid w:val="00BC213D"/>
    <w:rsid w:val="00BC2B28"/>
    <w:rsid w:val="00BC3611"/>
    <w:rsid w:val="00BC3CBB"/>
    <w:rsid w:val="00BC4172"/>
    <w:rsid w:val="00BC5C46"/>
    <w:rsid w:val="00BD3BD9"/>
    <w:rsid w:val="00BD74D6"/>
    <w:rsid w:val="00BE31AD"/>
    <w:rsid w:val="00BE6C0C"/>
    <w:rsid w:val="00BF008B"/>
    <w:rsid w:val="00BF194E"/>
    <w:rsid w:val="00BF1E0F"/>
    <w:rsid w:val="00BF5701"/>
    <w:rsid w:val="00C00B11"/>
    <w:rsid w:val="00C0106F"/>
    <w:rsid w:val="00C11C8D"/>
    <w:rsid w:val="00C16E23"/>
    <w:rsid w:val="00C26E5A"/>
    <w:rsid w:val="00C278C3"/>
    <w:rsid w:val="00C331C0"/>
    <w:rsid w:val="00C45901"/>
    <w:rsid w:val="00C50738"/>
    <w:rsid w:val="00C52ED0"/>
    <w:rsid w:val="00C53A9A"/>
    <w:rsid w:val="00C614B8"/>
    <w:rsid w:val="00C710A0"/>
    <w:rsid w:val="00C813E9"/>
    <w:rsid w:val="00C92111"/>
    <w:rsid w:val="00CA4667"/>
    <w:rsid w:val="00CC15B2"/>
    <w:rsid w:val="00CC3859"/>
    <w:rsid w:val="00CC55D3"/>
    <w:rsid w:val="00CD08FF"/>
    <w:rsid w:val="00CD4DDA"/>
    <w:rsid w:val="00CE3459"/>
    <w:rsid w:val="00D07E4C"/>
    <w:rsid w:val="00D142B9"/>
    <w:rsid w:val="00D1742D"/>
    <w:rsid w:val="00D301BD"/>
    <w:rsid w:val="00D307B8"/>
    <w:rsid w:val="00D36E57"/>
    <w:rsid w:val="00D42F45"/>
    <w:rsid w:val="00D44F62"/>
    <w:rsid w:val="00D60B3C"/>
    <w:rsid w:val="00D61837"/>
    <w:rsid w:val="00D64691"/>
    <w:rsid w:val="00D64AFC"/>
    <w:rsid w:val="00D6724E"/>
    <w:rsid w:val="00D83AD0"/>
    <w:rsid w:val="00D8581A"/>
    <w:rsid w:val="00D95A62"/>
    <w:rsid w:val="00DC1E2A"/>
    <w:rsid w:val="00DD3AD9"/>
    <w:rsid w:val="00DE2396"/>
    <w:rsid w:val="00E0053B"/>
    <w:rsid w:val="00E06494"/>
    <w:rsid w:val="00E10639"/>
    <w:rsid w:val="00E156F9"/>
    <w:rsid w:val="00E21347"/>
    <w:rsid w:val="00E265D5"/>
    <w:rsid w:val="00E3048D"/>
    <w:rsid w:val="00E41225"/>
    <w:rsid w:val="00E41368"/>
    <w:rsid w:val="00E43462"/>
    <w:rsid w:val="00E4481B"/>
    <w:rsid w:val="00E45363"/>
    <w:rsid w:val="00E817B7"/>
    <w:rsid w:val="00E84AE7"/>
    <w:rsid w:val="00E8790E"/>
    <w:rsid w:val="00E9063F"/>
    <w:rsid w:val="00E9130D"/>
    <w:rsid w:val="00E9357E"/>
    <w:rsid w:val="00E93BB2"/>
    <w:rsid w:val="00EA4F46"/>
    <w:rsid w:val="00EB4329"/>
    <w:rsid w:val="00EC1836"/>
    <w:rsid w:val="00EC7501"/>
    <w:rsid w:val="00EC7B2E"/>
    <w:rsid w:val="00EC7FC5"/>
    <w:rsid w:val="00ED587D"/>
    <w:rsid w:val="00EE4CD6"/>
    <w:rsid w:val="00EE6196"/>
    <w:rsid w:val="00F11C35"/>
    <w:rsid w:val="00F16279"/>
    <w:rsid w:val="00F17EB7"/>
    <w:rsid w:val="00F17EE0"/>
    <w:rsid w:val="00F201A6"/>
    <w:rsid w:val="00F21D7D"/>
    <w:rsid w:val="00F40C90"/>
    <w:rsid w:val="00F57749"/>
    <w:rsid w:val="00F606DD"/>
    <w:rsid w:val="00F62D43"/>
    <w:rsid w:val="00F658E7"/>
    <w:rsid w:val="00F726DB"/>
    <w:rsid w:val="00F72800"/>
    <w:rsid w:val="00F72FB1"/>
    <w:rsid w:val="00F77E5C"/>
    <w:rsid w:val="00F81A6D"/>
    <w:rsid w:val="00F865BC"/>
    <w:rsid w:val="00F9096F"/>
    <w:rsid w:val="00F90DB3"/>
    <w:rsid w:val="00F9473E"/>
    <w:rsid w:val="00F96910"/>
    <w:rsid w:val="00FA0546"/>
    <w:rsid w:val="00FA128C"/>
    <w:rsid w:val="00FA3E06"/>
    <w:rsid w:val="00FA4ABE"/>
    <w:rsid w:val="00FA508B"/>
    <w:rsid w:val="00FA748C"/>
    <w:rsid w:val="00FB641D"/>
    <w:rsid w:val="00FC6064"/>
    <w:rsid w:val="00FE4F56"/>
    <w:rsid w:val="00FF1D2D"/>
    <w:rsid w:val="00FF36FC"/>
    <w:rsid w:val="00FF4512"/>
    <w:rsid w:val="00FF5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38352-DCF9-4946-9E25-C1B22653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Magdalena Czaboćko</cp:lastModifiedBy>
  <cp:revision>54</cp:revision>
  <cp:lastPrinted>2017-04-26T07:07:00Z</cp:lastPrinted>
  <dcterms:created xsi:type="dcterms:W3CDTF">2017-02-14T13:53:00Z</dcterms:created>
  <dcterms:modified xsi:type="dcterms:W3CDTF">2017-04-27T11:08:00Z</dcterms:modified>
</cp:coreProperties>
</file>