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EF" w:rsidRPr="00FE73C0" w:rsidRDefault="00911CEF" w:rsidP="00911CEF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FE73C0">
        <w:rPr>
          <w:rFonts w:ascii="Arial" w:eastAsia="Calibri" w:hAnsi="Arial" w:cs="Arial"/>
          <w:sz w:val="20"/>
          <w:szCs w:val="20"/>
        </w:rPr>
        <w:t xml:space="preserve">Szczecin, dnia </w:t>
      </w:r>
      <w:r>
        <w:rPr>
          <w:rFonts w:ascii="Arial" w:eastAsia="Calibri" w:hAnsi="Arial" w:cs="Arial"/>
          <w:sz w:val="20"/>
          <w:szCs w:val="20"/>
        </w:rPr>
        <w:t>20 kwietnia</w:t>
      </w:r>
      <w:r w:rsidRPr="00FE73C0">
        <w:rPr>
          <w:rFonts w:ascii="Arial" w:eastAsia="Calibri" w:hAnsi="Arial" w:cs="Arial"/>
          <w:sz w:val="20"/>
          <w:szCs w:val="20"/>
        </w:rPr>
        <w:t xml:space="preserve"> 2016 r.</w:t>
      </w:r>
    </w:p>
    <w:p w:rsidR="00911CEF" w:rsidRPr="00FE73C0" w:rsidRDefault="00911CEF" w:rsidP="00911CEF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911CEF" w:rsidRDefault="00911CEF" w:rsidP="00911CEF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11CEF" w:rsidRPr="00FE73C0" w:rsidRDefault="00911CEF" w:rsidP="00911CEF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E73C0">
        <w:rPr>
          <w:rFonts w:ascii="Arial" w:eastAsia="Calibri" w:hAnsi="Arial" w:cs="Arial"/>
          <w:sz w:val="20"/>
          <w:szCs w:val="20"/>
        </w:rPr>
        <w:t xml:space="preserve">Znak sprawy: </w:t>
      </w:r>
      <w:r>
        <w:rPr>
          <w:rFonts w:ascii="Arial" w:eastAsia="Calibri" w:hAnsi="Arial" w:cs="Arial"/>
          <w:sz w:val="20"/>
          <w:szCs w:val="20"/>
        </w:rPr>
        <w:t>WA-II.253.1.2016.AS</w:t>
      </w:r>
    </w:p>
    <w:p w:rsidR="00911CEF" w:rsidRPr="00FE73C0" w:rsidRDefault="00911CEF" w:rsidP="00911CEF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11CEF" w:rsidRDefault="00911CEF" w:rsidP="00911CEF">
      <w:pPr>
        <w:pStyle w:val="Nagwek6"/>
        <w:shd w:val="clear" w:color="auto" w:fill="auto"/>
        <w:spacing w:before="0" w:after="0" w:line="240" w:lineRule="auto"/>
        <w:ind w:left="993" w:right="261" w:hanging="993"/>
        <w:jc w:val="both"/>
        <w:rPr>
          <w:rFonts w:eastAsia="Calibri"/>
          <w:sz w:val="20"/>
          <w:szCs w:val="20"/>
        </w:rPr>
      </w:pPr>
    </w:p>
    <w:p w:rsidR="00911CEF" w:rsidRDefault="00911CEF" w:rsidP="001F7A01">
      <w:pPr>
        <w:pStyle w:val="Nagwek6"/>
        <w:shd w:val="clear" w:color="auto" w:fill="auto"/>
        <w:spacing w:before="0" w:after="0" w:line="360" w:lineRule="auto"/>
        <w:ind w:left="851" w:right="261" w:hanging="851"/>
        <w:jc w:val="both"/>
        <w:rPr>
          <w:b w:val="0"/>
          <w:sz w:val="20"/>
          <w:szCs w:val="20"/>
        </w:rPr>
      </w:pPr>
      <w:r w:rsidRPr="00911CEF">
        <w:rPr>
          <w:rFonts w:eastAsia="Calibri"/>
          <w:b w:val="0"/>
          <w:sz w:val="20"/>
          <w:szCs w:val="20"/>
        </w:rPr>
        <w:t>Dotyczy:</w:t>
      </w:r>
      <w:r>
        <w:rPr>
          <w:rFonts w:eastAsia="Calibri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zapytania ofertowego</w:t>
      </w:r>
      <w:r>
        <w:rPr>
          <w:b w:val="0"/>
          <w:sz w:val="20"/>
          <w:szCs w:val="20"/>
        </w:rPr>
        <w:t xml:space="preserve"> w zakresie świadczenia usług brokerskich na rzecz Samorządu Województwa Zachodniopomorskiego.</w:t>
      </w:r>
    </w:p>
    <w:p w:rsidR="00911CEF" w:rsidRPr="00FE73C0" w:rsidRDefault="00911CEF" w:rsidP="00911CEF">
      <w:pPr>
        <w:spacing w:line="360" w:lineRule="auto"/>
        <w:ind w:left="851" w:hanging="851"/>
        <w:jc w:val="both"/>
        <w:rPr>
          <w:rFonts w:ascii="Arial" w:eastAsia="Calibri" w:hAnsi="Arial" w:cs="Arial"/>
          <w:b/>
          <w:sz w:val="20"/>
          <w:szCs w:val="20"/>
        </w:rPr>
      </w:pPr>
    </w:p>
    <w:p w:rsidR="00911CEF" w:rsidRPr="00FE73C0" w:rsidRDefault="00911CEF" w:rsidP="00911CEF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911CEF" w:rsidRDefault="00911CEF" w:rsidP="00911CEF">
      <w:pPr>
        <w:spacing w:before="40" w:after="40" w:line="300" w:lineRule="exact"/>
        <w:jc w:val="center"/>
        <w:rPr>
          <w:rFonts w:ascii="Arial" w:eastAsia="Calibri" w:hAnsi="Arial" w:cs="Arial"/>
          <w:b/>
          <w:sz w:val="20"/>
        </w:rPr>
      </w:pPr>
      <w:r w:rsidRPr="00853F50">
        <w:rPr>
          <w:rFonts w:ascii="Arial" w:eastAsia="Calibri" w:hAnsi="Arial" w:cs="Arial"/>
          <w:b/>
          <w:sz w:val="20"/>
        </w:rPr>
        <w:t>Odpowied</w:t>
      </w:r>
      <w:r>
        <w:rPr>
          <w:rFonts w:ascii="Arial" w:eastAsia="Calibri" w:hAnsi="Arial" w:cs="Arial"/>
          <w:b/>
          <w:sz w:val="20"/>
        </w:rPr>
        <w:t>zi na pytania</w:t>
      </w:r>
      <w:r w:rsidRPr="00853F50">
        <w:rPr>
          <w:rFonts w:ascii="Arial" w:eastAsia="Calibri" w:hAnsi="Arial" w:cs="Arial"/>
          <w:b/>
          <w:sz w:val="20"/>
        </w:rPr>
        <w:t xml:space="preserve"> Wykonawc</w:t>
      </w:r>
      <w:r>
        <w:rPr>
          <w:rFonts w:ascii="Arial" w:eastAsia="Calibri" w:hAnsi="Arial" w:cs="Arial"/>
          <w:b/>
          <w:sz w:val="20"/>
        </w:rPr>
        <w:t xml:space="preserve">ów </w:t>
      </w:r>
    </w:p>
    <w:p w:rsidR="00911CEF" w:rsidRDefault="00911CEF" w:rsidP="00911CE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11CEF" w:rsidRDefault="00911CEF" w:rsidP="00911CE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75AB2">
        <w:rPr>
          <w:rFonts w:ascii="Arial" w:hAnsi="Arial" w:cs="Arial"/>
          <w:b/>
          <w:bCs/>
          <w:sz w:val="20"/>
          <w:szCs w:val="20"/>
          <w:u w:val="single"/>
        </w:rPr>
        <w:t>Pytanie 1:</w:t>
      </w:r>
    </w:p>
    <w:p w:rsidR="001F7A01" w:rsidRPr="001F7A01" w:rsidRDefault="001F7A01" w:rsidP="00934DD3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F7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wskazał w pkt. 3 </w:t>
      </w:r>
      <w:proofErr w:type="spellStart"/>
      <w:r w:rsidRPr="001F7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ppkt</w:t>
      </w:r>
      <w:proofErr w:type="spellEnd"/>
      <w:r w:rsidRPr="001F7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3) zapytania ofertowego, jako warunek dopuszczający do składania ofert, wymóg prowadzenia działalności brokerskiej na polskim rynku ubezpieczeniowym od minimum 10 lat licząc od dnia otrzymania zezwolenia do dnia składania oferty.</w:t>
      </w:r>
    </w:p>
    <w:p w:rsidR="001F7A01" w:rsidRPr="001F7A01" w:rsidRDefault="001F7A01" w:rsidP="00934DD3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F7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o udzielenie odpowiedzi, czy Zamawiający uzna za spełnienie warunku, w sytuacji prowadzenia działalności brokerskiej na polskim rynku ubezpieczeniowym od ponad 17 lat, przy czym wskazany okres obejmuje 10 lat prowadzenia działalności w formie jednoosobowej, a następnie 7 lat w formie spółki z o.o., która przejęła cały portfel klientów, będąc sukcesorem działalności jednoosobowej. W przypadku zaakceptowania przez Zamawiającego wskazanej sytuacji, broker przedłoży dwa zezwolenia na prowadzenie działalności brokerskiej, w tym: zezwolenie Państwowego Urzędu Nadzoru Ubezpieczeń wydane dla działalności jednoosobowej oraz zezwolenie Komisji Nadzoru Finansowego zezwalające na prowadzenie działalności brokerskiej dla spółki z o.o..</w:t>
      </w:r>
    </w:p>
    <w:p w:rsidR="001F7A01" w:rsidRPr="00075AB2" w:rsidRDefault="001F7A01" w:rsidP="00911CE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11CEF" w:rsidRPr="00075AB2" w:rsidRDefault="00911CEF" w:rsidP="00911CE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75AB2">
        <w:rPr>
          <w:rFonts w:ascii="Arial" w:hAnsi="Arial" w:cs="Arial"/>
          <w:b/>
          <w:sz w:val="20"/>
          <w:szCs w:val="20"/>
          <w:u w:val="single"/>
        </w:rPr>
        <w:t>Odpowiedź:</w:t>
      </w:r>
    </w:p>
    <w:p w:rsidR="00911CEF" w:rsidRDefault="00CA648D" w:rsidP="00934D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72E10">
        <w:rPr>
          <w:rFonts w:ascii="Arial" w:hAnsi="Arial" w:cs="Arial"/>
          <w:sz w:val="20"/>
          <w:szCs w:val="20"/>
        </w:rPr>
        <w:t xml:space="preserve"> przypadku, gdy okres prowadzenia działalności brokerskiej przez Wykonawcę jest dłuższy niż 10 lat, licząc od dnia uzyskania zezwolenia Zamawiający uzna, ż</w:t>
      </w:r>
      <w:r w:rsidR="00934DD3">
        <w:rPr>
          <w:rFonts w:ascii="Arial" w:hAnsi="Arial" w:cs="Arial"/>
          <w:sz w:val="20"/>
          <w:szCs w:val="20"/>
        </w:rPr>
        <w:t>e warunek został spełniony</w:t>
      </w:r>
      <w:r>
        <w:rPr>
          <w:rFonts w:ascii="Arial" w:hAnsi="Arial" w:cs="Arial"/>
          <w:sz w:val="20"/>
          <w:szCs w:val="20"/>
        </w:rPr>
        <w:t xml:space="preserve"> jeżeli</w:t>
      </w:r>
      <w:r w:rsidR="00E72E10">
        <w:rPr>
          <w:rFonts w:ascii="Arial" w:hAnsi="Arial" w:cs="Arial"/>
          <w:sz w:val="20"/>
          <w:szCs w:val="20"/>
        </w:rPr>
        <w:t xml:space="preserve"> Wykonawca wykaże, że ewentualne zmiany nie maja charakteru podmiotowego i wynikają </w:t>
      </w:r>
      <w:r w:rsidR="00934DD3">
        <w:rPr>
          <w:rFonts w:ascii="Arial" w:hAnsi="Arial" w:cs="Arial"/>
          <w:sz w:val="20"/>
          <w:szCs w:val="20"/>
        </w:rPr>
        <w:t>ze zmiany formy  prowadzonej działalności prz</w:t>
      </w:r>
      <w:r w:rsidR="00F94214">
        <w:rPr>
          <w:rFonts w:ascii="Arial" w:hAnsi="Arial" w:cs="Arial"/>
          <w:sz w:val="20"/>
          <w:szCs w:val="20"/>
        </w:rPr>
        <w:t>y jednoczesnym wykazaniu</w:t>
      </w:r>
      <w:r w:rsidR="00934DD3">
        <w:rPr>
          <w:rFonts w:ascii="Arial" w:hAnsi="Arial" w:cs="Arial"/>
          <w:sz w:val="20"/>
          <w:szCs w:val="20"/>
        </w:rPr>
        <w:t>, że osoba wykonująca działalność brokerską w podmiocie powstałym w wyniku przekształcenia jest członkiem zarządu, rady nadzorczej lub większościowym udziałowcem.</w:t>
      </w:r>
    </w:p>
    <w:p w:rsidR="00270A91" w:rsidRDefault="00270A91" w:rsidP="00911CE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70A91" w:rsidRPr="00270A91" w:rsidRDefault="00270A91" w:rsidP="00911CEF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270A91" w:rsidRPr="00270A91" w:rsidRDefault="00270A91" w:rsidP="00911CEF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70A91">
        <w:rPr>
          <w:rFonts w:ascii="Arial" w:hAnsi="Arial" w:cs="Arial"/>
          <w:b/>
          <w:sz w:val="20"/>
          <w:szCs w:val="20"/>
          <w:u w:val="single"/>
        </w:rPr>
        <w:t>Pytanie nr 2</w:t>
      </w:r>
    </w:p>
    <w:p w:rsidR="00DE66E6" w:rsidRDefault="00270A91" w:rsidP="00270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treścią pkt. 7 ust. 3 lit. c) treść umowy brokerskiej podpisanej z wybranym Oferentem winna zawierać zapis o powołaniu na koszt Brokera bezstronnych ekspertów dla oceny technicznej zdarzenia losowego w celu ochrony interesu Zleceniodawcy. Takimi osobami Mentor S.A. dysponuje na podstawie umowy o pracę (specjaliści z zakresu likwidacji szkód z OC, szkód majątkowych lub osobowych itp. zatrudnieni w Biurze Likwidacji Szkód i Analizy Ubezpieczeniowej Mentor S.A.). Prowadzą one proces szkodowy od momentu zgłoszenia zdarzenia losowego, aż do wypł</w:t>
      </w:r>
      <w:r>
        <w:rPr>
          <w:rFonts w:ascii="Arial" w:hAnsi="Arial" w:cs="Arial"/>
          <w:sz w:val="20"/>
          <w:szCs w:val="20"/>
        </w:rPr>
        <w:t xml:space="preserve">aty </w:t>
      </w:r>
      <w:r>
        <w:rPr>
          <w:rFonts w:ascii="Arial" w:hAnsi="Arial" w:cs="Arial"/>
          <w:sz w:val="20"/>
          <w:szCs w:val="20"/>
        </w:rPr>
        <w:lastRenderedPageBreak/>
        <w:t>odszkodowania, a w przypadk</w:t>
      </w:r>
      <w:r>
        <w:rPr>
          <w:rFonts w:ascii="Arial" w:hAnsi="Arial" w:cs="Arial"/>
          <w:sz w:val="20"/>
          <w:szCs w:val="20"/>
        </w:rPr>
        <w:t>u poważnej szkody uczestniczą w oględzinach miejsca szkody wraz z pracownikami zakładu ubezpieczeń. Czy w związku z tym można uznać ten fakt za zabezpieczający w wystarczającym stopniu interes Zamawiającego i nie wymaga on dodatkowego zapisu w umowie brokerskiej w przypadku decyzji o wyborze Mentor S.A. na brokera przez Zamawiającego?</w:t>
      </w:r>
    </w:p>
    <w:p w:rsidR="00270A91" w:rsidRDefault="00270A91" w:rsidP="00270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70A91" w:rsidRDefault="00270A91" w:rsidP="00270A91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70A91">
        <w:rPr>
          <w:rFonts w:ascii="Arial" w:hAnsi="Arial" w:cs="Arial"/>
          <w:b/>
          <w:sz w:val="20"/>
          <w:szCs w:val="20"/>
          <w:u w:val="single"/>
        </w:rPr>
        <w:t>Odpowiedź</w:t>
      </w:r>
    </w:p>
    <w:p w:rsidR="003262CB" w:rsidRDefault="003262CB" w:rsidP="00F94214">
      <w:pPr>
        <w:jc w:val="both"/>
        <w:rPr>
          <w:rFonts w:ascii="Arial" w:hAnsi="Arial" w:cs="Arial"/>
          <w:sz w:val="20"/>
          <w:szCs w:val="20"/>
        </w:rPr>
      </w:pPr>
    </w:p>
    <w:p w:rsidR="00F94214" w:rsidRPr="00F94214" w:rsidRDefault="003262CB" w:rsidP="0084266C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Broker Ubezpieczeniowy działa w imieniu i na rzecz Ubezpieczającego, dlatego w celu zachowania przejrzystości </w:t>
      </w:r>
      <w:r w:rsidR="00CA648D">
        <w:rPr>
          <w:rFonts w:ascii="Arial" w:hAnsi="Arial" w:cs="Arial"/>
          <w:sz w:val="20"/>
          <w:szCs w:val="20"/>
        </w:rPr>
        <w:t xml:space="preserve">i obiektywności </w:t>
      </w:r>
      <w:r>
        <w:rPr>
          <w:rFonts w:ascii="Arial" w:hAnsi="Arial" w:cs="Arial"/>
          <w:sz w:val="20"/>
          <w:szCs w:val="20"/>
        </w:rPr>
        <w:t xml:space="preserve">przy ocenie technicznej </w:t>
      </w:r>
      <w:r w:rsidRPr="00F94214">
        <w:rPr>
          <w:rFonts w:ascii="Arial" w:eastAsia="Times New Roman" w:hAnsi="Arial" w:cs="Arial"/>
          <w:sz w:val="20"/>
          <w:szCs w:val="20"/>
          <w:lang w:eastAsia="pl-PL"/>
        </w:rPr>
        <w:t xml:space="preserve">zdarzenia losowego </w:t>
      </w:r>
      <w:r w:rsidR="0084266C">
        <w:rPr>
          <w:rFonts w:ascii="Arial" w:eastAsia="Times New Roman" w:hAnsi="Arial" w:cs="Arial"/>
          <w:sz w:val="20"/>
          <w:szCs w:val="20"/>
          <w:lang w:eastAsia="pl-PL"/>
        </w:rPr>
        <w:t>będz</w:t>
      </w:r>
      <w:r w:rsidR="00F94214">
        <w:rPr>
          <w:rFonts w:ascii="Arial" w:eastAsia="Times New Roman" w:hAnsi="Arial" w:cs="Arial"/>
          <w:sz w:val="20"/>
          <w:szCs w:val="20"/>
          <w:lang w:eastAsia="pl-PL"/>
        </w:rPr>
        <w:t>ie</w:t>
      </w:r>
      <w:bookmarkStart w:id="0" w:name="_GoBack"/>
      <w:bookmarkEnd w:id="0"/>
      <w:r w:rsidR="00F94214" w:rsidRPr="00F942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94214" w:rsidRPr="00F94214">
        <w:rPr>
          <w:rFonts w:ascii="Arial" w:eastAsia="Times New Roman" w:hAnsi="Arial" w:cs="Arial"/>
          <w:sz w:val="20"/>
          <w:szCs w:val="20"/>
          <w:lang w:eastAsia="pl-PL"/>
        </w:rPr>
        <w:t>w razie uzasadnionej potrzeby</w:t>
      </w:r>
      <w:r w:rsidR="00F94214">
        <w:rPr>
          <w:rFonts w:ascii="Arial" w:eastAsia="Times New Roman" w:hAnsi="Arial" w:cs="Arial"/>
          <w:sz w:val="20"/>
          <w:szCs w:val="20"/>
          <w:lang w:eastAsia="pl-PL"/>
        </w:rPr>
        <w:t xml:space="preserve"> powoływał</w:t>
      </w:r>
      <w:r w:rsidR="00F94214" w:rsidRPr="00F94214">
        <w:rPr>
          <w:rFonts w:ascii="Arial" w:eastAsia="Times New Roman" w:hAnsi="Arial" w:cs="Arial"/>
          <w:sz w:val="20"/>
          <w:szCs w:val="20"/>
          <w:lang w:eastAsia="pl-PL"/>
        </w:rPr>
        <w:t xml:space="preserve"> na </w:t>
      </w:r>
      <w:r w:rsidR="00F94214">
        <w:rPr>
          <w:rFonts w:ascii="Arial" w:eastAsia="Times New Roman" w:hAnsi="Arial" w:cs="Arial"/>
          <w:sz w:val="20"/>
          <w:szCs w:val="20"/>
          <w:lang w:eastAsia="pl-PL"/>
        </w:rPr>
        <w:t xml:space="preserve">swój </w:t>
      </w:r>
      <w:r w:rsidR="00F94214" w:rsidRPr="00F94214">
        <w:rPr>
          <w:rFonts w:ascii="Arial" w:eastAsia="Times New Roman" w:hAnsi="Arial" w:cs="Arial"/>
          <w:sz w:val="20"/>
          <w:szCs w:val="20"/>
          <w:lang w:eastAsia="pl-PL"/>
        </w:rPr>
        <w:t>koszt</w:t>
      </w:r>
      <w:r w:rsidR="00CA648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94214" w:rsidRPr="00F942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A648D">
        <w:rPr>
          <w:rFonts w:ascii="Arial" w:eastAsia="Times New Roman" w:hAnsi="Arial" w:cs="Arial"/>
          <w:sz w:val="20"/>
          <w:szCs w:val="20"/>
          <w:lang w:eastAsia="pl-PL"/>
        </w:rPr>
        <w:t>przy akceptacji Zamawiającego</w:t>
      </w:r>
      <w:r w:rsidR="00CA648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CA648D" w:rsidRPr="00F9421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94214" w:rsidRPr="00F94214">
        <w:rPr>
          <w:rFonts w:ascii="Arial" w:eastAsia="Times New Roman" w:hAnsi="Arial" w:cs="Arial"/>
          <w:sz w:val="20"/>
          <w:szCs w:val="20"/>
          <w:lang w:eastAsia="pl-PL"/>
        </w:rPr>
        <w:t xml:space="preserve">bezstronnych </w:t>
      </w:r>
      <w:r w:rsidR="0084266C">
        <w:rPr>
          <w:rFonts w:ascii="Arial" w:eastAsia="Times New Roman" w:hAnsi="Arial" w:cs="Arial"/>
          <w:sz w:val="20"/>
          <w:szCs w:val="20"/>
          <w:lang w:eastAsia="pl-PL"/>
        </w:rPr>
        <w:t xml:space="preserve">zewnętrznych </w:t>
      </w:r>
      <w:r w:rsidR="00F94214" w:rsidRPr="00F94214">
        <w:rPr>
          <w:rFonts w:ascii="Arial" w:eastAsia="Times New Roman" w:hAnsi="Arial" w:cs="Arial"/>
          <w:sz w:val="20"/>
          <w:szCs w:val="20"/>
          <w:lang w:eastAsia="pl-PL"/>
        </w:rPr>
        <w:t>ekspertów branżowych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270A91" w:rsidRDefault="00270A91" w:rsidP="00270A91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0A91" w:rsidRDefault="00270A91" w:rsidP="00270A91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Pytanie nr 3</w:t>
      </w:r>
    </w:p>
    <w:p w:rsidR="00270A91" w:rsidRDefault="00270A91" w:rsidP="00270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treścią pkt. 7 ust. 4 lit. d) prosimy o doprecyzowanie, iż kompleksowa obsługa roszczeń dotyczy "roszczeń wynikających z umów ubezpieczenia zawartych za pośrednictwem brokera".</w:t>
      </w:r>
    </w:p>
    <w:p w:rsidR="00A91996" w:rsidRDefault="00A91996" w:rsidP="00270A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1996" w:rsidRPr="00AE07A5" w:rsidRDefault="00A91996" w:rsidP="00270A91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E07A5">
        <w:rPr>
          <w:rFonts w:ascii="Arial" w:hAnsi="Arial" w:cs="Arial"/>
          <w:b/>
          <w:sz w:val="20"/>
          <w:szCs w:val="20"/>
          <w:u w:val="single"/>
        </w:rPr>
        <w:t>Odpow</w:t>
      </w:r>
      <w:r w:rsidR="00AE07A5" w:rsidRPr="00AE07A5">
        <w:rPr>
          <w:rFonts w:ascii="Arial" w:hAnsi="Arial" w:cs="Arial"/>
          <w:b/>
          <w:sz w:val="20"/>
          <w:szCs w:val="20"/>
          <w:u w:val="single"/>
        </w:rPr>
        <w:t>ie</w:t>
      </w:r>
      <w:r w:rsidRPr="00AE07A5">
        <w:rPr>
          <w:rFonts w:ascii="Arial" w:hAnsi="Arial" w:cs="Arial"/>
          <w:b/>
          <w:sz w:val="20"/>
          <w:szCs w:val="20"/>
          <w:u w:val="single"/>
        </w:rPr>
        <w:t>dź</w:t>
      </w:r>
    </w:p>
    <w:p w:rsidR="00AE07A5" w:rsidRPr="00AE07A5" w:rsidRDefault="00AE07A5" w:rsidP="00AE07A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Zamawiają</w:t>
      </w:r>
      <w:r w:rsidR="00A91996">
        <w:rPr>
          <w:rFonts w:ascii="Arial" w:hAnsi="Arial" w:cs="Arial"/>
          <w:sz w:val="20"/>
          <w:szCs w:val="20"/>
        </w:rPr>
        <w:t xml:space="preserve">cy informuje, że </w:t>
      </w:r>
      <w:r w:rsidRPr="00AE07A5">
        <w:rPr>
          <w:rFonts w:ascii="Arial" w:eastAsia="Times New Roman" w:hAnsi="Arial" w:cs="Arial"/>
          <w:sz w:val="20"/>
          <w:szCs w:val="20"/>
          <w:lang w:eastAsia="pl-PL"/>
        </w:rPr>
        <w:t>kompleksowa obsługa roszc</w:t>
      </w:r>
      <w:r>
        <w:rPr>
          <w:rFonts w:ascii="Arial" w:eastAsia="Times New Roman" w:hAnsi="Arial" w:cs="Arial"/>
          <w:sz w:val="20"/>
          <w:szCs w:val="20"/>
          <w:lang w:eastAsia="pl-PL"/>
        </w:rPr>
        <w:t>zeń</w:t>
      </w:r>
      <w:r w:rsidRPr="00AE07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dotyczy wszystkich umów ubezpieczenia zawieranych przez Zamawiającego, </w:t>
      </w:r>
      <w:r w:rsidR="00BE5026">
        <w:rPr>
          <w:rFonts w:ascii="Arial" w:eastAsia="Times New Roman" w:hAnsi="Arial" w:cs="Arial"/>
          <w:sz w:val="20"/>
          <w:szCs w:val="20"/>
          <w:lang w:eastAsia="pl-PL"/>
        </w:rPr>
        <w:t xml:space="preserve">bez względu na to czy zostały zawarte </w:t>
      </w:r>
      <w:r w:rsidR="00BE5026">
        <w:rPr>
          <w:rFonts w:ascii="Arial" w:hAnsi="Arial" w:cs="Arial"/>
          <w:sz w:val="20"/>
          <w:szCs w:val="20"/>
        </w:rPr>
        <w:t>za pośrednictwem brokera</w:t>
      </w:r>
      <w:r w:rsidR="00BE50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33AE">
        <w:rPr>
          <w:rFonts w:ascii="Arial" w:eastAsia="Times New Roman" w:hAnsi="Arial" w:cs="Arial"/>
          <w:sz w:val="20"/>
          <w:szCs w:val="20"/>
          <w:lang w:eastAsia="pl-PL"/>
        </w:rPr>
        <w:t>czy też bez jego udziału.</w:t>
      </w:r>
    </w:p>
    <w:p w:rsidR="00A91996" w:rsidRPr="00270A91" w:rsidRDefault="00A91996" w:rsidP="00270A91">
      <w:pPr>
        <w:spacing w:line="360" w:lineRule="auto"/>
        <w:jc w:val="both"/>
        <w:rPr>
          <w:b/>
          <w:u w:val="single"/>
        </w:rPr>
      </w:pPr>
    </w:p>
    <w:sectPr w:rsidR="00A91996" w:rsidRPr="0027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7D47"/>
    <w:multiLevelType w:val="hybridMultilevel"/>
    <w:tmpl w:val="72B27216"/>
    <w:lvl w:ilvl="0" w:tplc="913AED0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29D16CFB"/>
    <w:multiLevelType w:val="hybridMultilevel"/>
    <w:tmpl w:val="BAF4C9B6"/>
    <w:lvl w:ilvl="0" w:tplc="EDE8986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858360B"/>
    <w:multiLevelType w:val="hybridMultilevel"/>
    <w:tmpl w:val="D602CC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DA70B45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9E6914"/>
    <w:multiLevelType w:val="hybridMultilevel"/>
    <w:tmpl w:val="E0C21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EA6D1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34"/>
    <w:rsid w:val="000B7134"/>
    <w:rsid w:val="001F7A01"/>
    <w:rsid w:val="00270A91"/>
    <w:rsid w:val="003262CB"/>
    <w:rsid w:val="0084266C"/>
    <w:rsid w:val="00911CEF"/>
    <w:rsid w:val="00934DD3"/>
    <w:rsid w:val="00A91996"/>
    <w:rsid w:val="00AE07A5"/>
    <w:rsid w:val="00BA33AE"/>
    <w:rsid w:val="00BE5026"/>
    <w:rsid w:val="00CA648D"/>
    <w:rsid w:val="00DE66E6"/>
    <w:rsid w:val="00E72E10"/>
    <w:rsid w:val="00F545B5"/>
    <w:rsid w:val="00F9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CE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6">
    <w:name w:val="Nagłówek #6"/>
    <w:basedOn w:val="Normalny"/>
    <w:rsid w:val="00911CEF"/>
    <w:pPr>
      <w:widowControl w:val="0"/>
      <w:shd w:val="clear" w:color="auto" w:fill="FFFFFF"/>
      <w:suppressAutoHyphens/>
      <w:spacing w:before="240" w:after="240" w:line="278" w:lineRule="exact"/>
      <w:ind w:hanging="720"/>
      <w:jc w:val="center"/>
    </w:pPr>
    <w:rPr>
      <w:rFonts w:ascii="Arial" w:eastAsia="Arial Unicode MS" w:hAnsi="Arial" w:cs="Arial"/>
      <w:b/>
      <w:bCs/>
      <w:kern w:val="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CE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6">
    <w:name w:val="Nagłówek #6"/>
    <w:basedOn w:val="Normalny"/>
    <w:rsid w:val="00911CEF"/>
    <w:pPr>
      <w:widowControl w:val="0"/>
      <w:shd w:val="clear" w:color="auto" w:fill="FFFFFF"/>
      <w:suppressAutoHyphens/>
      <w:spacing w:before="240" w:after="240" w:line="278" w:lineRule="exact"/>
      <w:ind w:hanging="720"/>
      <w:jc w:val="center"/>
    </w:pPr>
    <w:rPr>
      <w:rFonts w:ascii="Arial" w:eastAsia="Arial Unicode MS" w:hAnsi="Arial" w:cs="Arial"/>
      <w:b/>
      <w:bCs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2016-04-20T09:11:00Z</cp:lastPrinted>
  <dcterms:created xsi:type="dcterms:W3CDTF">2016-04-20T05:58:00Z</dcterms:created>
  <dcterms:modified xsi:type="dcterms:W3CDTF">2016-04-20T09:51:00Z</dcterms:modified>
</cp:coreProperties>
</file>