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E4AA6" w14:textId="173FB822" w:rsidR="007007BB" w:rsidRDefault="007007BB" w:rsidP="007007B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Metodyka rozliczania </w:t>
      </w:r>
      <w:r w:rsidR="00A66B6A" w:rsidRPr="00A66B6A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 xml:space="preserve">w ramach </w:t>
      </w:r>
      <w:r w:rsidR="00150DD2">
        <w:rPr>
          <w:rFonts w:ascii="Arial" w:hAnsi="Arial" w:cs="Arial"/>
          <w:b/>
        </w:rPr>
        <w:t xml:space="preserve">Pomocy Technicznej  </w:t>
      </w:r>
      <w:r>
        <w:rPr>
          <w:rFonts w:ascii="Arial" w:hAnsi="Arial" w:cs="Arial"/>
          <w:b/>
        </w:rPr>
        <w:t xml:space="preserve">Regionalnego Programu Operacyjnego Województwa Zachodniopomorskiego 2014-2020 </w:t>
      </w:r>
    </w:p>
    <w:p w14:paraId="01A27C61" w14:textId="77777777" w:rsidR="007007BB" w:rsidRDefault="007007BB" w:rsidP="007007BB">
      <w:pPr>
        <w:spacing w:line="360" w:lineRule="auto"/>
        <w:jc w:val="center"/>
        <w:rPr>
          <w:rFonts w:ascii="Arial" w:hAnsi="Arial" w:cs="Arial"/>
          <w:b/>
        </w:rPr>
      </w:pPr>
    </w:p>
    <w:p w14:paraId="518A3FF2" w14:textId="0287AFD2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Metodyka ma na celu określenie warunków wykorzystania środków pomocy technicznej w ramach Regionalnego Programu Operacyjnego Województwa Zachodniopomorskiego 2014-2020 (RPO WZ 2014-2020). Do oceny kwalifikowalności poniesionych wydatków w ramach RPO WZ 2014-2020 stosuje się wytyczne Ministerstwa Infrastruktury i Rozwoju w zakresie korzystania z pomocy technicznej na </w:t>
      </w:r>
      <w:r w:rsidR="00A2478C">
        <w:rPr>
          <w:rFonts w:ascii="Arial" w:hAnsi="Arial" w:cs="Arial"/>
          <w:sz w:val="20"/>
          <w:szCs w:val="20"/>
        </w:rPr>
        <w:t>lata</w:t>
      </w:r>
      <w:r>
        <w:rPr>
          <w:rFonts w:ascii="Arial" w:hAnsi="Arial" w:cs="Arial"/>
          <w:sz w:val="20"/>
          <w:szCs w:val="20"/>
        </w:rPr>
        <w:t xml:space="preserve"> 2014-2020, obowiązując</w:t>
      </w:r>
      <w:r w:rsidR="005546C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 dniu wszczęcia postępowania prowadzącego do zawarcia umowy albo w dniu poniesienia wydatku (w przypadku braku umowy). </w:t>
      </w:r>
    </w:p>
    <w:p w14:paraId="3FC4154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Stopień kwalifikowalności danego stanowiska pracy w ramach pomocy technicznej RPO WZ 2014-2020 czy też innego PO uzależniony jest od zadań, jakie wykonuje pracownik zatrudniony na danym stanowisku pracy. Zadania te określone są w zakresie czynności.  </w:t>
      </w:r>
    </w:p>
    <w:p w14:paraId="5E96DD9D" w14:textId="37824F9D" w:rsidR="005546C0" w:rsidRDefault="00C36F30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Współfinansowanie </w:t>
      </w:r>
      <w:r w:rsidR="007007BB">
        <w:rPr>
          <w:rFonts w:ascii="Arial" w:hAnsi="Arial" w:cs="Arial"/>
          <w:sz w:val="20"/>
          <w:szCs w:val="20"/>
        </w:rPr>
        <w:t xml:space="preserve">wynagrodzeń ze środków pomocy technicznej przysługuje pracownikom wykonującym zadania </w:t>
      </w:r>
      <w:r w:rsidR="007007BB" w:rsidRPr="00F001F2">
        <w:rPr>
          <w:rFonts w:ascii="Arial" w:hAnsi="Arial" w:cs="Arial"/>
          <w:sz w:val="20"/>
          <w:szCs w:val="20"/>
        </w:rPr>
        <w:t xml:space="preserve">przypisane </w:t>
      </w:r>
      <w:r w:rsidR="007007BB" w:rsidRPr="00197A00">
        <w:rPr>
          <w:rFonts w:ascii="Arial" w:hAnsi="Arial" w:cs="Arial"/>
          <w:sz w:val="20"/>
          <w:szCs w:val="20"/>
        </w:rPr>
        <w:t xml:space="preserve">Porozumieniem zawartym </w:t>
      </w:r>
      <w:r w:rsidR="00F02292" w:rsidRPr="00826933">
        <w:rPr>
          <w:rFonts w:ascii="Arial" w:hAnsi="Arial" w:cs="Arial"/>
          <w:sz w:val="20"/>
          <w:szCs w:val="20"/>
        </w:rPr>
        <w:t>6</w:t>
      </w:r>
      <w:r w:rsidR="00A41B3D" w:rsidRPr="00197A00">
        <w:rPr>
          <w:rFonts w:ascii="Arial" w:hAnsi="Arial" w:cs="Arial"/>
          <w:sz w:val="20"/>
          <w:szCs w:val="20"/>
        </w:rPr>
        <w:t xml:space="preserve"> maja 2015 r. </w:t>
      </w:r>
      <w:r w:rsidR="007007BB" w:rsidRPr="00197A00">
        <w:rPr>
          <w:rFonts w:ascii="Arial" w:hAnsi="Arial" w:cs="Arial"/>
          <w:sz w:val="20"/>
          <w:szCs w:val="20"/>
        </w:rPr>
        <w:t xml:space="preserve">pomiędzy </w:t>
      </w:r>
      <w:r w:rsidR="00A41B3D" w:rsidRPr="00197A00">
        <w:rPr>
          <w:rFonts w:ascii="Arial" w:hAnsi="Arial" w:cs="Arial"/>
          <w:sz w:val="20"/>
          <w:szCs w:val="20"/>
        </w:rPr>
        <w:t>Zarządem Województwa Zachodniopomorskiego a Wojewódzkim Funduszem Ochrony Środowiska i Gospodarki Wodnej w Szczecinie w sprawie powierzenia Instytucji Pośredniczącej</w:t>
      </w:r>
      <w:r w:rsidR="0047558D" w:rsidRPr="00197A00">
        <w:rPr>
          <w:rFonts w:ascii="Arial" w:hAnsi="Arial" w:cs="Arial"/>
          <w:sz w:val="20"/>
          <w:szCs w:val="20"/>
        </w:rPr>
        <w:t xml:space="preserve"> zadań związanych z realizacj</w:t>
      </w:r>
      <w:r w:rsidR="005546C0">
        <w:rPr>
          <w:rFonts w:ascii="Arial" w:hAnsi="Arial" w:cs="Arial"/>
          <w:sz w:val="20"/>
          <w:szCs w:val="20"/>
        </w:rPr>
        <w:t>ą</w:t>
      </w:r>
      <w:r w:rsidR="0047558D" w:rsidRPr="00197A00">
        <w:rPr>
          <w:rFonts w:ascii="Arial" w:hAnsi="Arial" w:cs="Arial"/>
          <w:sz w:val="20"/>
          <w:szCs w:val="20"/>
        </w:rPr>
        <w:t xml:space="preserve"> RPO WZ 2014-2020.</w:t>
      </w:r>
      <w:r w:rsidR="007007BB">
        <w:rPr>
          <w:rFonts w:ascii="Arial" w:hAnsi="Arial" w:cs="Arial"/>
          <w:sz w:val="20"/>
          <w:szCs w:val="20"/>
        </w:rPr>
        <w:t xml:space="preserve"> W przypadku pracowników częściowo wykonujących zadania związane z realizacją danego PO, koszty wynagrodzenia finansowane będą ze środków pomocy technicznej proporcjonalnie do zaangażowania pracownika w realizację działań kwalifikowalnych do wsparcia. </w:t>
      </w:r>
      <w:r w:rsidR="00BE2C04">
        <w:rPr>
          <w:rFonts w:ascii="Arial" w:hAnsi="Arial" w:cs="Arial"/>
          <w:sz w:val="20"/>
          <w:szCs w:val="20"/>
        </w:rPr>
        <w:t>S</w:t>
      </w:r>
      <w:r w:rsidR="007007BB">
        <w:rPr>
          <w:rFonts w:ascii="Arial" w:hAnsi="Arial" w:cs="Arial"/>
          <w:sz w:val="20"/>
          <w:szCs w:val="20"/>
        </w:rPr>
        <w:t>topień kwalifikowalności określ</w:t>
      </w:r>
      <w:r>
        <w:rPr>
          <w:rFonts w:ascii="Arial" w:hAnsi="Arial" w:cs="Arial"/>
          <w:sz w:val="20"/>
          <w:szCs w:val="20"/>
        </w:rPr>
        <w:t>ony jest w</w:t>
      </w:r>
      <w:r w:rsidR="007007BB">
        <w:rPr>
          <w:rFonts w:ascii="Arial" w:hAnsi="Arial" w:cs="Arial"/>
          <w:sz w:val="20"/>
          <w:szCs w:val="20"/>
        </w:rPr>
        <w:t xml:space="preserve"> zakres</w:t>
      </w:r>
      <w:r>
        <w:rPr>
          <w:rFonts w:ascii="Arial" w:hAnsi="Arial" w:cs="Arial"/>
          <w:sz w:val="20"/>
          <w:szCs w:val="20"/>
        </w:rPr>
        <w:t>ie</w:t>
      </w:r>
      <w:r w:rsidR="007007BB">
        <w:rPr>
          <w:rFonts w:ascii="Arial" w:hAnsi="Arial" w:cs="Arial"/>
          <w:sz w:val="20"/>
          <w:szCs w:val="20"/>
        </w:rPr>
        <w:t xml:space="preserve"> czynności. Dokument te</w:t>
      </w:r>
      <w:r>
        <w:rPr>
          <w:rFonts w:ascii="Arial" w:hAnsi="Arial" w:cs="Arial"/>
          <w:sz w:val="20"/>
          <w:szCs w:val="20"/>
        </w:rPr>
        <w:t>n</w:t>
      </w:r>
      <w:r w:rsidR="007007BB">
        <w:rPr>
          <w:rFonts w:ascii="Arial" w:hAnsi="Arial" w:cs="Arial"/>
          <w:sz w:val="20"/>
          <w:szCs w:val="20"/>
        </w:rPr>
        <w:t xml:space="preserve"> określa wymiar czasu pracy, zakres zadań oraz procentowy udział zadań kwalifikowalnych na stanowisku pracy – tj. stopień, w jakim dane stanowisko zaangażowane jest w realizację danego PO (co jest tożsame z % kwalifikowalności stanowiska pracy w ramach pomocy technicznej danego PO). </w:t>
      </w:r>
      <w:r w:rsidR="00F566C5">
        <w:rPr>
          <w:rFonts w:ascii="Arial" w:hAnsi="Arial" w:cs="Arial"/>
          <w:sz w:val="20"/>
          <w:szCs w:val="20"/>
        </w:rPr>
        <w:t>Z</w:t>
      </w:r>
      <w:r w:rsidR="00F566C5" w:rsidRPr="00DC5EEB">
        <w:rPr>
          <w:rFonts w:ascii="Arial" w:hAnsi="Arial" w:cs="Arial"/>
          <w:sz w:val="20"/>
          <w:szCs w:val="20"/>
        </w:rPr>
        <w:t>ada</w:t>
      </w:r>
      <w:r w:rsidR="00F566C5">
        <w:rPr>
          <w:rFonts w:ascii="Arial" w:hAnsi="Arial" w:cs="Arial"/>
          <w:sz w:val="20"/>
          <w:szCs w:val="20"/>
        </w:rPr>
        <w:t>nia</w:t>
      </w:r>
      <w:r w:rsidR="00F566C5" w:rsidRPr="00DC5EEB">
        <w:rPr>
          <w:rFonts w:ascii="Arial" w:hAnsi="Arial" w:cs="Arial"/>
          <w:sz w:val="20"/>
          <w:szCs w:val="20"/>
        </w:rPr>
        <w:t xml:space="preserve"> związan</w:t>
      </w:r>
      <w:r w:rsidR="00F566C5">
        <w:rPr>
          <w:rFonts w:ascii="Arial" w:hAnsi="Arial" w:cs="Arial"/>
          <w:sz w:val="20"/>
          <w:szCs w:val="20"/>
        </w:rPr>
        <w:t>e</w:t>
      </w:r>
      <w:r w:rsidR="00F566C5" w:rsidRPr="00DC5EEB">
        <w:rPr>
          <w:rFonts w:ascii="Arial" w:hAnsi="Arial" w:cs="Arial"/>
          <w:sz w:val="20"/>
          <w:szCs w:val="20"/>
        </w:rPr>
        <w:t xml:space="preserve"> z realizacj</w:t>
      </w:r>
      <w:r w:rsidR="005546C0">
        <w:rPr>
          <w:rFonts w:ascii="Arial" w:hAnsi="Arial" w:cs="Arial"/>
          <w:sz w:val="20"/>
          <w:szCs w:val="20"/>
        </w:rPr>
        <w:t>ą</w:t>
      </w:r>
      <w:r w:rsidR="00F566C5" w:rsidRPr="00DC5EEB">
        <w:rPr>
          <w:rFonts w:ascii="Arial" w:hAnsi="Arial" w:cs="Arial"/>
          <w:sz w:val="20"/>
          <w:szCs w:val="20"/>
        </w:rPr>
        <w:t xml:space="preserve"> RPO WZ 2014-2020</w:t>
      </w:r>
      <w:r w:rsidR="00F566C5">
        <w:rPr>
          <w:rFonts w:ascii="Arial" w:hAnsi="Arial" w:cs="Arial"/>
          <w:sz w:val="20"/>
          <w:szCs w:val="20"/>
        </w:rPr>
        <w:t xml:space="preserve"> wykonywane będą</w:t>
      </w:r>
      <w:r w:rsidR="00CF4DCB">
        <w:rPr>
          <w:rFonts w:ascii="Arial" w:hAnsi="Arial" w:cs="Arial"/>
          <w:sz w:val="20"/>
          <w:szCs w:val="20"/>
        </w:rPr>
        <w:t>,</w:t>
      </w:r>
      <w:r w:rsidR="00F566C5">
        <w:rPr>
          <w:rFonts w:ascii="Arial" w:hAnsi="Arial" w:cs="Arial"/>
          <w:sz w:val="20"/>
          <w:szCs w:val="20"/>
        </w:rPr>
        <w:t xml:space="preserve"> </w:t>
      </w:r>
      <w:r w:rsidR="00CF4DCB">
        <w:rPr>
          <w:rFonts w:ascii="Arial" w:hAnsi="Arial" w:cs="Arial"/>
          <w:sz w:val="20"/>
          <w:szCs w:val="20"/>
        </w:rPr>
        <w:t>w szczególności,</w:t>
      </w:r>
      <w:r w:rsidR="00F566C5">
        <w:rPr>
          <w:rFonts w:ascii="Arial" w:hAnsi="Arial" w:cs="Arial"/>
          <w:sz w:val="20"/>
          <w:szCs w:val="20"/>
        </w:rPr>
        <w:t xml:space="preserve"> w </w:t>
      </w:r>
      <w:r w:rsidR="00F566C5" w:rsidRPr="00F566C5">
        <w:rPr>
          <w:rFonts w:ascii="Arial" w:hAnsi="Arial" w:cs="Arial"/>
          <w:sz w:val="20"/>
          <w:szCs w:val="20"/>
        </w:rPr>
        <w:t>Zespole ds. RPO WZ</w:t>
      </w:r>
      <w:r w:rsidR="00F566C5">
        <w:rPr>
          <w:rFonts w:ascii="Arial" w:hAnsi="Arial" w:cs="Arial"/>
          <w:sz w:val="20"/>
          <w:szCs w:val="20"/>
        </w:rPr>
        <w:t xml:space="preserve">, w którym </w:t>
      </w:r>
      <w:r w:rsidR="00F566C5" w:rsidRPr="00F566C5">
        <w:rPr>
          <w:rFonts w:ascii="Arial" w:hAnsi="Arial" w:cs="Arial"/>
          <w:sz w:val="20"/>
          <w:szCs w:val="20"/>
        </w:rPr>
        <w:t>doc</w:t>
      </w:r>
      <w:r w:rsidR="00F566C5">
        <w:rPr>
          <w:rFonts w:ascii="Arial" w:hAnsi="Arial" w:cs="Arial"/>
          <w:sz w:val="20"/>
          <w:szCs w:val="20"/>
        </w:rPr>
        <w:t>elowo zaplanowano 22</w:t>
      </w:r>
      <w:r w:rsidR="00F566C5" w:rsidRPr="00F566C5">
        <w:rPr>
          <w:rFonts w:ascii="Arial" w:hAnsi="Arial" w:cs="Arial"/>
          <w:sz w:val="20"/>
          <w:szCs w:val="20"/>
        </w:rPr>
        <w:t xml:space="preserve"> </w:t>
      </w:r>
      <w:r w:rsidR="00637AB2">
        <w:rPr>
          <w:rFonts w:ascii="Arial" w:hAnsi="Arial" w:cs="Arial"/>
          <w:sz w:val="20"/>
          <w:szCs w:val="20"/>
        </w:rPr>
        <w:t>etaty</w:t>
      </w:r>
      <w:r w:rsidR="00F566C5">
        <w:rPr>
          <w:rFonts w:ascii="Arial" w:hAnsi="Arial" w:cs="Arial"/>
          <w:sz w:val="20"/>
          <w:szCs w:val="20"/>
        </w:rPr>
        <w:t xml:space="preserve">. </w:t>
      </w:r>
    </w:p>
    <w:p w14:paraId="506E2833" w14:textId="16B8BC0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Rozliczeń Pomocy Technicznej sporządza miesięczną informację o poziomie kwalifikowalności </w:t>
      </w:r>
      <w:r w:rsidR="00FF5C85">
        <w:rPr>
          <w:rFonts w:ascii="Arial" w:hAnsi="Arial" w:cs="Arial"/>
          <w:sz w:val="20"/>
          <w:szCs w:val="20"/>
        </w:rPr>
        <w:t xml:space="preserve">WFOŚiGW </w:t>
      </w:r>
      <w:r>
        <w:rPr>
          <w:rFonts w:ascii="Arial" w:hAnsi="Arial" w:cs="Arial"/>
          <w:sz w:val="20"/>
          <w:szCs w:val="20"/>
        </w:rPr>
        <w:t xml:space="preserve">w </w:t>
      </w:r>
      <w:r w:rsidR="00E00A37">
        <w:rPr>
          <w:rFonts w:ascii="Arial" w:hAnsi="Arial" w:cs="Arial"/>
          <w:sz w:val="20"/>
          <w:szCs w:val="20"/>
        </w:rPr>
        <w:t xml:space="preserve">Szczecinie w </w:t>
      </w:r>
      <w:r>
        <w:rPr>
          <w:rFonts w:ascii="Arial" w:hAnsi="Arial" w:cs="Arial"/>
          <w:sz w:val="20"/>
          <w:szCs w:val="20"/>
        </w:rPr>
        <w:t xml:space="preserve">terminie dwóch dni roboczych po zakończeniu miesiąca kalendarzowego. </w:t>
      </w:r>
    </w:p>
    <w:p w14:paraId="2D090578" w14:textId="481208F2" w:rsidR="003F6BFC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Pierwsza informacja w tym zakresie zostanie sporządzona według stanu na dzień </w:t>
      </w:r>
      <w:r w:rsidR="003D139C" w:rsidRPr="00197A00">
        <w:rPr>
          <w:rFonts w:ascii="Arial" w:hAnsi="Arial" w:cs="Arial"/>
          <w:sz w:val="20"/>
          <w:szCs w:val="20"/>
        </w:rPr>
        <w:t xml:space="preserve">31 maja </w:t>
      </w:r>
      <w:r w:rsidRPr="00197A00">
        <w:rPr>
          <w:rFonts w:ascii="Arial" w:hAnsi="Arial" w:cs="Arial"/>
          <w:sz w:val="20"/>
          <w:szCs w:val="20"/>
        </w:rPr>
        <w:t>2015 roku</w:t>
      </w:r>
      <w:r w:rsidRPr="00F001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każda następna według stanu na ostatni dzień miesiąca, zgodnie z załączonym wzorem tabeli:</w:t>
      </w:r>
    </w:p>
    <w:p w14:paraId="6EB51CDB" w14:textId="77777777" w:rsidR="003F6BFC" w:rsidRDefault="003F6B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23975F" w14:textId="2653B849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Informacja o poziomie kwalifikowalności  WFOŚiGW w Szczecinie </w:t>
      </w:r>
    </w:p>
    <w:tbl>
      <w:tblPr>
        <w:tblW w:w="3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837"/>
        <w:gridCol w:w="1832"/>
        <w:gridCol w:w="1700"/>
      </w:tblGrid>
      <w:tr w:rsidR="00254405" w14:paraId="27376F53" w14:textId="77777777" w:rsidTr="00197A00">
        <w:trPr>
          <w:trHeight w:val="123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901" w14:textId="77777777" w:rsidR="00254405" w:rsidRDefault="00254405" w:rsidP="0002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83B04" w14:textId="77777777" w:rsidR="00254405" w:rsidRDefault="00254405" w:rsidP="000276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Komórka organizacyjna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5A8" w14:textId="77777777" w:rsidR="00254405" w:rsidRDefault="00254405" w:rsidP="0002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7DBEC" w14:textId="74D18762" w:rsidR="00254405" w:rsidRDefault="00254405" w:rsidP="0098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wykorzystanych etatów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7ED" w14:textId="2EEA0A9F" w:rsidR="00254405" w:rsidRPr="00197A00" w:rsidRDefault="00254405" w:rsidP="0098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wykorzystanych etatów kwalifikowalnych w ramach RPO WZ 2014-2020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84C0" w14:textId="63A63E24" w:rsidR="00254405" w:rsidRDefault="00254405" w:rsidP="009843F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Poziom kwalifikowalności komórki organizacyjnej w ramach RPO WZ 2014-2020 (%)</w:t>
            </w:r>
          </w:p>
        </w:tc>
      </w:tr>
      <w:tr w:rsidR="00254405" w14:paraId="7662EE3C" w14:textId="77777777" w:rsidTr="00197A00">
        <w:trPr>
          <w:trHeight w:val="510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820" w14:textId="77777777" w:rsidR="00254405" w:rsidRDefault="00254405" w:rsidP="009843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736A" w14:textId="7BAAD6BF" w:rsidR="00254405" w:rsidRDefault="002544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F61" w14:textId="63FD5E43" w:rsidR="00254405" w:rsidRDefault="002544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FD15" w14:textId="1061D961" w:rsidR="00254405" w:rsidRDefault="00254405" w:rsidP="00F566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(=3/2)</w:t>
            </w:r>
          </w:p>
        </w:tc>
      </w:tr>
      <w:tr w:rsidR="00254405" w14:paraId="0A93DF3B" w14:textId="77777777" w:rsidTr="00197A00">
        <w:trPr>
          <w:trHeight w:val="913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B4F" w14:textId="02B3637C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WFOŚiGW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856E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1F9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C18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405" w14:paraId="766A1ECE" w14:textId="77777777" w:rsidTr="00197A00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519" w14:textId="4A142AB0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WFOŚiGW Szczecin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896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C3A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D94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405" w14:paraId="50CA5E63" w14:textId="77777777" w:rsidTr="00197A00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269" w14:textId="2DD411AC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WFOŚiGW Koszalin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337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69D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F283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4405" w14:paraId="6500ACDB" w14:textId="77777777" w:rsidTr="00197A00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C53F" w14:textId="0EEDB5D3" w:rsidR="00254405" w:rsidRDefault="00254405" w:rsidP="00197A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Zespół ds. RPO WZ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904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DE9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439" w14:textId="77777777" w:rsidR="00254405" w:rsidRDefault="00254405" w:rsidP="0002762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E78D3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D031AB" w14:textId="77777777" w:rsidR="009843FA" w:rsidRDefault="009843FA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705699" w14:textId="77777777" w:rsidR="007007BB" w:rsidRDefault="007007BB" w:rsidP="007007BB">
      <w:pPr>
        <w:tabs>
          <w:tab w:val="left" w:pos="665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2B717B4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Sporządził:…………………….</w:t>
      </w:r>
    </w:p>
    <w:p w14:paraId="5515325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320E4AC8" w14:textId="77777777" w:rsidR="009843FA" w:rsidRPr="00641F32" w:rsidRDefault="009843FA" w:rsidP="007007B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93977FF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D283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Zatwierdził:……………………..</w:t>
      </w:r>
    </w:p>
    <w:p w14:paraId="702AA52C" w14:textId="77777777" w:rsidR="003F6BFC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75A70F28" w14:textId="793BE9C4" w:rsidR="007007BB" w:rsidRDefault="003F6BFC" w:rsidP="00197A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7007BB">
        <w:rPr>
          <w:rFonts w:ascii="Arial" w:hAnsi="Arial" w:cs="Arial"/>
          <w:sz w:val="20"/>
          <w:szCs w:val="20"/>
        </w:rPr>
        <w:lastRenderedPageBreak/>
        <w:t xml:space="preserve">Wypełniona informacja zatwierdzana jest przez Dyrektora ds. Funduszy Europejskich (w razie jego nieobecności przez osobę pełniącą zastępstwo). </w:t>
      </w:r>
    </w:p>
    <w:p w14:paraId="29E5208F" w14:textId="77777777" w:rsidR="00F11D12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Powyższa tabela służy do obliczenia </w:t>
      </w:r>
      <w:r w:rsidR="00F11D12">
        <w:rPr>
          <w:rFonts w:ascii="Arial" w:hAnsi="Arial" w:cs="Arial"/>
          <w:sz w:val="20"/>
          <w:szCs w:val="20"/>
        </w:rPr>
        <w:t>wskaźników:</w:t>
      </w:r>
    </w:p>
    <w:p w14:paraId="64CF0505" w14:textId="0A83F858" w:rsidR="00F11D12" w:rsidRDefault="007007BB" w:rsidP="00197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A00">
        <w:rPr>
          <w:rFonts w:ascii="Arial" w:hAnsi="Arial" w:cs="Arial"/>
          <w:sz w:val="20"/>
          <w:szCs w:val="20"/>
        </w:rPr>
        <w:t xml:space="preserve">wskaźnika kwalifikowalności </w:t>
      </w:r>
      <w:r w:rsidR="00F11D12" w:rsidRPr="00197A00">
        <w:rPr>
          <w:rFonts w:ascii="Arial" w:hAnsi="Arial" w:cs="Arial"/>
          <w:sz w:val="20"/>
          <w:szCs w:val="20"/>
        </w:rPr>
        <w:t>dla całego WFOŚiGW w Szczecinie</w:t>
      </w:r>
      <w:r w:rsidR="00F11D12">
        <w:rPr>
          <w:rFonts w:ascii="Arial" w:hAnsi="Arial" w:cs="Arial"/>
          <w:sz w:val="20"/>
          <w:szCs w:val="20"/>
        </w:rPr>
        <w:t xml:space="preserve"> (</w:t>
      </w:r>
      <w:r w:rsidR="00F11D12" w:rsidRPr="00F11D12">
        <w:rPr>
          <w:rFonts w:ascii="Arial" w:hAnsi="Arial" w:cs="Arial"/>
          <w:sz w:val="20"/>
          <w:szCs w:val="20"/>
        </w:rPr>
        <w:t>WFOŚiGW</w:t>
      </w:r>
      <w:r w:rsidR="00F11D12">
        <w:rPr>
          <w:rFonts w:ascii="Arial" w:hAnsi="Arial" w:cs="Arial"/>
          <w:sz w:val="20"/>
          <w:szCs w:val="20"/>
        </w:rPr>
        <w:t>)</w:t>
      </w:r>
      <w:r w:rsidR="003F6BFC">
        <w:rPr>
          <w:rFonts w:ascii="Arial" w:hAnsi="Arial" w:cs="Arial"/>
          <w:sz w:val="20"/>
          <w:szCs w:val="20"/>
        </w:rPr>
        <w:t>,</w:t>
      </w:r>
    </w:p>
    <w:p w14:paraId="61C9E8E1" w14:textId="3F6B8304" w:rsidR="00F11D12" w:rsidRDefault="00F11D12" w:rsidP="00197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A50">
        <w:rPr>
          <w:rFonts w:ascii="Arial" w:hAnsi="Arial" w:cs="Arial"/>
          <w:sz w:val="20"/>
          <w:szCs w:val="20"/>
        </w:rPr>
        <w:t>wskaźnik</w:t>
      </w:r>
      <w:r w:rsidR="003F6BFC">
        <w:rPr>
          <w:rFonts w:ascii="Arial" w:hAnsi="Arial" w:cs="Arial"/>
          <w:sz w:val="20"/>
          <w:szCs w:val="20"/>
        </w:rPr>
        <w:t>ów</w:t>
      </w:r>
      <w:r w:rsidRPr="00420A50">
        <w:rPr>
          <w:rFonts w:ascii="Arial" w:hAnsi="Arial" w:cs="Arial"/>
          <w:sz w:val="20"/>
          <w:szCs w:val="20"/>
        </w:rPr>
        <w:t xml:space="preserve"> kwalifikowalności</w:t>
      </w:r>
      <w:r>
        <w:rPr>
          <w:rFonts w:ascii="Arial" w:hAnsi="Arial" w:cs="Arial"/>
          <w:sz w:val="20"/>
          <w:szCs w:val="20"/>
        </w:rPr>
        <w:t xml:space="preserve"> dla</w:t>
      </w:r>
      <w:r w:rsidR="003F6BFC">
        <w:rPr>
          <w:rFonts w:ascii="Arial" w:hAnsi="Arial" w:cs="Arial"/>
          <w:sz w:val="20"/>
          <w:szCs w:val="20"/>
        </w:rPr>
        <w:t xml:space="preserve"> danej</w:t>
      </w:r>
      <w:r>
        <w:rPr>
          <w:rFonts w:ascii="Arial" w:hAnsi="Arial" w:cs="Arial"/>
          <w:sz w:val="20"/>
          <w:szCs w:val="20"/>
        </w:rPr>
        <w:t xml:space="preserve"> </w:t>
      </w:r>
      <w:r w:rsidR="003F6BFC">
        <w:rPr>
          <w:rFonts w:ascii="Arial" w:hAnsi="Arial" w:cs="Arial"/>
          <w:sz w:val="20"/>
          <w:szCs w:val="20"/>
        </w:rPr>
        <w:t>lokalizacji (</w:t>
      </w:r>
      <w:r w:rsidR="003F6BFC" w:rsidRPr="003F6BFC">
        <w:rPr>
          <w:rFonts w:ascii="Arial" w:hAnsi="Arial" w:cs="Arial"/>
          <w:sz w:val="20"/>
          <w:szCs w:val="20"/>
        </w:rPr>
        <w:t>WFOŚiGW</w:t>
      </w:r>
      <w:r w:rsidR="003F6BFC">
        <w:rPr>
          <w:rFonts w:ascii="Arial" w:hAnsi="Arial" w:cs="Arial"/>
          <w:sz w:val="20"/>
          <w:szCs w:val="20"/>
        </w:rPr>
        <w:t xml:space="preserve"> Szczecin oraz </w:t>
      </w:r>
      <w:r w:rsidR="003F6BFC" w:rsidRPr="003F6BFC">
        <w:rPr>
          <w:rFonts w:ascii="Arial" w:hAnsi="Arial" w:cs="Arial"/>
          <w:sz w:val="20"/>
          <w:szCs w:val="20"/>
        </w:rPr>
        <w:t>WFOŚiGW</w:t>
      </w:r>
      <w:r w:rsidR="003F6BFC">
        <w:rPr>
          <w:rFonts w:ascii="Arial" w:hAnsi="Arial" w:cs="Arial"/>
          <w:sz w:val="20"/>
          <w:szCs w:val="20"/>
        </w:rPr>
        <w:t xml:space="preserve"> Koszalin),</w:t>
      </w:r>
    </w:p>
    <w:p w14:paraId="4CF4D1C5" w14:textId="1A36B286" w:rsidR="003F6BFC" w:rsidRPr="00197A00" w:rsidRDefault="003F6BFC" w:rsidP="00197A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0A50">
        <w:rPr>
          <w:rFonts w:ascii="Arial" w:hAnsi="Arial" w:cs="Arial"/>
          <w:sz w:val="20"/>
          <w:szCs w:val="20"/>
        </w:rPr>
        <w:t>wskaźnika kwalifikowalności dla</w:t>
      </w:r>
      <w:r>
        <w:rPr>
          <w:rFonts w:ascii="Arial" w:hAnsi="Arial" w:cs="Arial"/>
          <w:sz w:val="20"/>
          <w:szCs w:val="20"/>
        </w:rPr>
        <w:t xml:space="preserve"> Zespołu ds. RPO WZ.</w:t>
      </w:r>
    </w:p>
    <w:p w14:paraId="24FD757B" w14:textId="7978F4C4" w:rsidR="007007BB" w:rsidRDefault="003F6BFC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Ww. wskaźniki dla </w:t>
      </w:r>
      <w:r w:rsidR="007007BB">
        <w:rPr>
          <w:rFonts w:ascii="Arial" w:hAnsi="Arial" w:cs="Arial"/>
          <w:sz w:val="20"/>
          <w:szCs w:val="20"/>
        </w:rPr>
        <w:t xml:space="preserve">zadań finansowanych z pomocy technicznej liczone </w:t>
      </w:r>
      <w:r>
        <w:rPr>
          <w:rFonts w:ascii="Arial" w:hAnsi="Arial" w:cs="Arial"/>
          <w:sz w:val="20"/>
          <w:szCs w:val="20"/>
        </w:rPr>
        <w:t xml:space="preserve">są </w:t>
      </w:r>
      <w:r w:rsidR="007007BB">
        <w:rPr>
          <w:rFonts w:ascii="Arial" w:hAnsi="Arial" w:cs="Arial"/>
          <w:sz w:val="20"/>
          <w:szCs w:val="20"/>
        </w:rPr>
        <w:t>jako stosunek liczby wykorzystanych etatów kwalifikowanych do liczby wykorzystanych etatów</w:t>
      </w:r>
      <w:r>
        <w:rPr>
          <w:rFonts w:ascii="Arial" w:hAnsi="Arial" w:cs="Arial"/>
          <w:sz w:val="20"/>
          <w:szCs w:val="20"/>
        </w:rPr>
        <w:t>.</w:t>
      </w:r>
    </w:p>
    <w:p w14:paraId="15BC139A" w14:textId="78720415" w:rsidR="007A7A3F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</w:t>
      </w:r>
      <w:r w:rsidR="003F6B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wskaźnik</w:t>
      </w:r>
      <w:r w:rsidR="003F6BF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służ</w:t>
      </w:r>
      <w:r w:rsidR="003F6BFC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do rozliczania wydatków, których nie można jednostkowo przypisać do stanowiska </w:t>
      </w:r>
      <w:r w:rsidRPr="00FB66FA">
        <w:rPr>
          <w:rFonts w:ascii="Arial" w:hAnsi="Arial" w:cs="Arial"/>
          <w:sz w:val="20"/>
          <w:szCs w:val="20"/>
        </w:rPr>
        <w:t xml:space="preserve">pracy </w:t>
      </w:r>
      <w:r w:rsidR="002472E7" w:rsidRPr="00FB66FA">
        <w:rPr>
          <w:rFonts w:ascii="Arial" w:hAnsi="Arial" w:cs="Arial"/>
          <w:sz w:val="20"/>
          <w:szCs w:val="20"/>
        </w:rPr>
        <w:t xml:space="preserve">i nie wynikają bezpośrednio z realizowanych działań w ramach poszczególnych PO </w:t>
      </w:r>
      <w:r>
        <w:rPr>
          <w:rFonts w:ascii="Arial" w:hAnsi="Arial" w:cs="Arial"/>
          <w:sz w:val="20"/>
          <w:szCs w:val="20"/>
        </w:rPr>
        <w:t>(np. kosztów zakupu materiałów biurowych, wyposażenia stanowiska pracy, prasy i publikacji, usług pocztowych i kurierskich, wydatków na podnoszenie kwalifikacji, organizację spotkań  a także kosztów użytkowania powierzchni biurowej).</w:t>
      </w:r>
      <w:r w:rsidR="009843FA">
        <w:rPr>
          <w:rFonts w:ascii="Arial" w:hAnsi="Arial" w:cs="Arial"/>
          <w:sz w:val="20"/>
          <w:szCs w:val="20"/>
        </w:rPr>
        <w:t xml:space="preserve"> W</w:t>
      </w:r>
      <w:r w:rsidR="009843FA" w:rsidRPr="00420A50">
        <w:rPr>
          <w:rFonts w:ascii="Arial" w:hAnsi="Arial" w:cs="Arial"/>
          <w:sz w:val="20"/>
          <w:szCs w:val="20"/>
        </w:rPr>
        <w:t>skaźnik kwalifikowalności</w:t>
      </w:r>
      <w:r w:rsidR="009843FA">
        <w:rPr>
          <w:rFonts w:ascii="Arial" w:hAnsi="Arial" w:cs="Arial"/>
          <w:sz w:val="20"/>
          <w:szCs w:val="20"/>
        </w:rPr>
        <w:t xml:space="preserve"> dla danej lokalizacji stosuje się do wydatków,</w:t>
      </w:r>
      <w:r w:rsidR="009843FA" w:rsidRPr="009843FA">
        <w:rPr>
          <w:rFonts w:ascii="Arial" w:hAnsi="Arial" w:cs="Arial"/>
          <w:sz w:val="20"/>
          <w:szCs w:val="20"/>
        </w:rPr>
        <w:t xml:space="preserve"> </w:t>
      </w:r>
      <w:r w:rsidR="009843FA">
        <w:rPr>
          <w:rFonts w:ascii="Arial" w:hAnsi="Arial" w:cs="Arial"/>
          <w:sz w:val="20"/>
          <w:szCs w:val="20"/>
        </w:rPr>
        <w:t>których nie można jednostkowo przypisać do stanowiska pracy, ale można przypisać do konkretnej lokalizacji, w której są generowane (</w:t>
      </w:r>
      <w:r w:rsidR="009324CE">
        <w:rPr>
          <w:rFonts w:ascii="Arial" w:hAnsi="Arial" w:cs="Arial"/>
          <w:sz w:val="20"/>
          <w:szCs w:val="20"/>
        </w:rPr>
        <w:t>b</w:t>
      </w:r>
      <w:r w:rsidR="009843FA" w:rsidRPr="009843FA">
        <w:rPr>
          <w:rFonts w:ascii="Arial" w:hAnsi="Arial" w:cs="Arial"/>
          <w:sz w:val="20"/>
          <w:szCs w:val="20"/>
        </w:rPr>
        <w:t xml:space="preserve">iuro </w:t>
      </w:r>
      <w:r w:rsidR="009843FA">
        <w:rPr>
          <w:rFonts w:ascii="Arial" w:hAnsi="Arial" w:cs="Arial"/>
          <w:sz w:val="20"/>
          <w:szCs w:val="20"/>
        </w:rPr>
        <w:t xml:space="preserve">w </w:t>
      </w:r>
      <w:r w:rsidR="009843FA" w:rsidRPr="009843FA">
        <w:rPr>
          <w:rFonts w:ascii="Arial" w:hAnsi="Arial" w:cs="Arial"/>
          <w:sz w:val="20"/>
          <w:szCs w:val="20"/>
        </w:rPr>
        <w:t>Koszalin</w:t>
      </w:r>
      <w:r w:rsidR="009843FA">
        <w:rPr>
          <w:rFonts w:ascii="Arial" w:hAnsi="Arial" w:cs="Arial"/>
          <w:sz w:val="20"/>
          <w:szCs w:val="20"/>
        </w:rPr>
        <w:t>ie</w:t>
      </w:r>
      <w:r w:rsidR="00533B51">
        <w:rPr>
          <w:rFonts w:ascii="Arial" w:hAnsi="Arial" w:cs="Arial"/>
          <w:sz w:val="20"/>
          <w:szCs w:val="20"/>
        </w:rPr>
        <w:t xml:space="preserve"> oraz</w:t>
      </w:r>
      <w:r w:rsidR="009324CE">
        <w:rPr>
          <w:rFonts w:ascii="Arial" w:hAnsi="Arial" w:cs="Arial"/>
          <w:sz w:val="20"/>
          <w:szCs w:val="20"/>
        </w:rPr>
        <w:t xml:space="preserve"> biuro WFOŚiGW w Szczecinie przy </w:t>
      </w:r>
      <w:r w:rsidR="00F812AB">
        <w:rPr>
          <w:rFonts w:ascii="Arial" w:hAnsi="Arial" w:cs="Arial"/>
          <w:sz w:val="20"/>
          <w:szCs w:val="20"/>
        </w:rPr>
        <w:t xml:space="preserve">ul. Solskiego 3 lub </w:t>
      </w:r>
      <w:r w:rsidR="009324CE">
        <w:rPr>
          <w:rFonts w:ascii="Arial" w:hAnsi="Arial" w:cs="Arial"/>
          <w:sz w:val="20"/>
          <w:szCs w:val="20"/>
        </w:rPr>
        <w:t>ul. Jagiellońskiej 32u/5</w:t>
      </w:r>
      <w:r w:rsidR="00F812A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9843FA">
        <w:rPr>
          <w:rFonts w:ascii="Arial" w:hAnsi="Arial" w:cs="Arial"/>
          <w:sz w:val="20"/>
          <w:szCs w:val="20"/>
        </w:rPr>
        <w:t>)</w:t>
      </w:r>
      <w:r w:rsidR="00F812AB">
        <w:rPr>
          <w:rFonts w:ascii="Arial" w:hAnsi="Arial" w:cs="Arial"/>
          <w:sz w:val="20"/>
          <w:szCs w:val="20"/>
        </w:rPr>
        <w:t>. Wskaźnik</w:t>
      </w:r>
      <w:r w:rsidR="00F812AB" w:rsidRPr="00420A50">
        <w:rPr>
          <w:rFonts w:ascii="Arial" w:hAnsi="Arial" w:cs="Arial"/>
          <w:sz w:val="20"/>
          <w:szCs w:val="20"/>
        </w:rPr>
        <w:t xml:space="preserve"> kwalifikowalności dla</w:t>
      </w:r>
      <w:r w:rsidR="00F812AB">
        <w:rPr>
          <w:rFonts w:ascii="Arial" w:hAnsi="Arial" w:cs="Arial"/>
          <w:sz w:val="20"/>
          <w:szCs w:val="20"/>
        </w:rPr>
        <w:t xml:space="preserve"> Zespołu ds. RPO WZ stosuje się do wydatków,</w:t>
      </w:r>
      <w:r w:rsidR="00F812AB" w:rsidRPr="009843FA">
        <w:rPr>
          <w:rFonts w:ascii="Arial" w:hAnsi="Arial" w:cs="Arial"/>
          <w:sz w:val="20"/>
          <w:szCs w:val="20"/>
        </w:rPr>
        <w:t xml:space="preserve"> </w:t>
      </w:r>
      <w:r w:rsidR="00F812AB">
        <w:rPr>
          <w:rFonts w:ascii="Arial" w:hAnsi="Arial" w:cs="Arial"/>
          <w:sz w:val="20"/>
          <w:szCs w:val="20"/>
        </w:rPr>
        <w:t xml:space="preserve">których nie można jednostkowo przypisać do stanowiska pracy, ale dotyczą tylko Zespołu ds. RPO WZ. </w:t>
      </w:r>
    </w:p>
    <w:p w14:paraId="2A90C494" w14:textId="4ED6CAA1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rozliczania </w:t>
      </w:r>
      <w:r w:rsidR="007A7A3F">
        <w:rPr>
          <w:rFonts w:ascii="Arial" w:hAnsi="Arial" w:cs="Arial"/>
          <w:sz w:val="20"/>
          <w:szCs w:val="20"/>
        </w:rPr>
        <w:t xml:space="preserve">ww. </w:t>
      </w:r>
      <w:r>
        <w:rPr>
          <w:rFonts w:ascii="Arial" w:hAnsi="Arial" w:cs="Arial"/>
          <w:sz w:val="20"/>
          <w:szCs w:val="20"/>
        </w:rPr>
        <w:t>wydatków należy przyjąć następującą metodykę:</w:t>
      </w:r>
    </w:p>
    <w:p w14:paraId="0ED233E4" w14:textId="451155DE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Poziom kwalifikowalności dla miesiąca N+1 jest ustalany na podstawie średniej kwalifikowalności pracowników osiągniętej w miesiącu N, przedstawionej w informacji o poziomie kwalifikowalności danej komórki organizacyjnej. </w:t>
      </w:r>
      <w:r w:rsidR="00616922" w:rsidRPr="00616922">
        <w:rPr>
          <w:rFonts w:ascii="Arial" w:hAnsi="Arial" w:cs="Arial"/>
          <w:sz w:val="20"/>
          <w:szCs w:val="20"/>
        </w:rPr>
        <w:t>Poziom dofinansowania kosztów jest zmienny i obliczany raz w miesiącu w oparciu o stan zatrudnienia danej komórki organizacyjnej</w:t>
      </w:r>
      <w:bookmarkStart w:id="0" w:name="_GoBack"/>
      <w:bookmarkEnd w:id="0"/>
      <w:r w:rsidR="0061194A">
        <w:rPr>
          <w:rFonts w:ascii="Arial" w:hAnsi="Arial" w:cs="Arial"/>
          <w:sz w:val="20"/>
          <w:szCs w:val="20"/>
        </w:rPr>
        <w:t>.</w:t>
      </w:r>
      <w:r w:rsidR="00E907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Szczegółowy mechanizm rozliczania kosztów kwalifikowalnych przedstawiają poniższe zadania:</w:t>
      </w:r>
    </w:p>
    <w:p w14:paraId="311D684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1 (zakupy materiałów biurowych)</w:t>
      </w:r>
    </w:p>
    <w:p w14:paraId="50372DD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przedmiotowego zadania przewidziano m.in. następujące wydatki:</w:t>
      </w:r>
    </w:p>
    <w:p w14:paraId="6FE638B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 zakup papieru kserograficznego,</w:t>
      </w:r>
    </w:p>
    <w:p w14:paraId="6E1BAE3B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zakup drobnego sprzętu biurowego (w szczególności: pieczątki, długopisy, spinacze, zszywacze itp.)</w:t>
      </w:r>
    </w:p>
    <w:p w14:paraId="36F80C23" w14:textId="272274E4" w:rsidR="007007BB" w:rsidRPr="000D2E6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kosztów kwalifikowalnych dotyczących zakupionego asortymentu, który może być przypisany do komórki organizacyjnej lub stanowiska pracy, nastąpi w oparciu o przemnożenie </w:t>
      </w:r>
      <w:r>
        <w:rPr>
          <w:rFonts w:ascii="Arial" w:hAnsi="Arial" w:cs="Arial"/>
          <w:sz w:val="20"/>
          <w:szCs w:val="20"/>
        </w:rPr>
        <w:lastRenderedPageBreak/>
        <w:t xml:space="preserve">wyszczególnionej pozycji z faktury przez </w:t>
      </w:r>
      <w:r w:rsidR="0040112B">
        <w:rPr>
          <w:rFonts w:ascii="Arial" w:hAnsi="Arial" w:cs="Arial"/>
          <w:sz w:val="20"/>
          <w:szCs w:val="20"/>
        </w:rPr>
        <w:t xml:space="preserve">odpowiedni </w:t>
      </w:r>
      <w:r>
        <w:rPr>
          <w:rFonts w:ascii="Arial" w:hAnsi="Arial" w:cs="Arial"/>
          <w:sz w:val="20"/>
          <w:szCs w:val="20"/>
        </w:rPr>
        <w:t>wskaźnik kwalifikowalności zadań finansowanych z pomocy technicznej lub procent kwalifikowalności danego stanowiska pracy. W przypadku, gdy stanowisko pracy/komórka organizacyjna zaangażowana jest w realizację zadań kwalifikowalnych w ramach kilku programów operacyjnych, koszty na poszczególne PO należy wyliczyć proporcjonalnie do zaangażowania.</w:t>
      </w:r>
    </w:p>
    <w:p w14:paraId="64F67A8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 (zakup wyposażenia stanowiska pracy)</w:t>
      </w:r>
    </w:p>
    <w:p w14:paraId="5EC832E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przedmiotowego zadania przewidziano następujące wydatki:</w:t>
      </w:r>
    </w:p>
    <w:p w14:paraId="4155FD9F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zakup mebli,</w:t>
      </w:r>
    </w:p>
    <w:p w14:paraId="1AEF829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zakup sprzętu komputerowego oraz drobnych akcesoriów komputerowych,</w:t>
      </w:r>
    </w:p>
    <w:p w14:paraId="7171E62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zakup programów i licencji,</w:t>
      </w:r>
    </w:p>
    <w:p w14:paraId="39970CFB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zakup urządzeń wielofunkcyjnych,</w:t>
      </w:r>
    </w:p>
    <w:p w14:paraId="72D9D69E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zakup urządzeń poligraficznych (w szczególności: </w:t>
      </w:r>
      <w:proofErr w:type="spellStart"/>
      <w:r>
        <w:rPr>
          <w:rFonts w:ascii="Arial" w:hAnsi="Arial" w:cs="Arial"/>
          <w:sz w:val="20"/>
          <w:szCs w:val="20"/>
        </w:rPr>
        <w:t>bindownice</w:t>
      </w:r>
      <w:proofErr w:type="spellEnd"/>
      <w:r>
        <w:rPr>
          <w:rFonts w:ascii="Arial" w:hAnsi="Arial" w:cs="Arial"/>
          <w:sz w:val="20"/>
          <w:szCs w:val="20"/>
        </w:rPr>
        <w:t>, niszczarki, laminatory itp.)</w:t>
      </w:r>
    </w:p>
    <w:p w14:paraId="2A0B58A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zakup tonerów do faksów, kopiarek i drukarek.</w:t>
      </w:r>
    </w:p>
    <w:p w14:paraId="1054857D" w14:textId="6FEB285D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kosztów kwalifikowalnych dotyczących wyposażenia biurowego będzie dokonywane poprzez wyodrębnienie z faktur poszczególnych pozycji, ilości i wartości przekazanych bezpośrednio jako wyposażenie stanowisk pracy lub danych komórek organizacyjnych. Następnie wartość przekazanego wyposażenia zostanie przemnożona przez procent kwalifikowalności danego stanowiska pracy lub przez </w:t>
      </w:r>
      <w:r w:rsidR="0040112B">
        <w:rPr>
          <w:rFonts w:ascii="Arial" w:hAnsi="Arial" w:cs="Arial"/>
          <w:sz w:val="20"/>
          <w:szCs w:val="20"/>
        </w:rPr>
        <w:t xml:space="preserve">odpowiedni </w:t>
      </w:r>
      <w:r>
        <w:rPr>
          <w:rFonts w:ascii="Arial" w:hAnsi="Arial" w:cs="Arial"/>
          <w:sz w:val="20"/>
          <w:szCs w:val="20"/>
        </w:rPr>
        <w:t xml:space="preserve">wskaźnik kwalifikowalności zadań finansowanych z pomocy technicznej. W przypadku, gdy stanowisko pracy/komórka organizacyjna zaangażowana jest w realizację zadań kwalifikowalnych w ramach kilku PO, koszty na poszczególne PO należy wyliczyć proporcjonalnie do zaangażowania. Przekazany sprzęt jest oznaczony i ewidencjonowany </w:t>
      </w:r>
      <w:r>
        <w:rPr>
          <w:rFonts w:ascii="Arial" w:hAnsi="Arial" w:cs="Arial"/>
          <w:sz w:val="20"/>
          <w:szCs w:val="20"/>
        </w:rPr>
        <w:br/>
        <w:t xml:space="preserve">w księgach inwentarzowych prowadzonych przez Zespół ds. Finansowo- Księgowych. </w:t>
      </w:r>
    </w:p>
    <w:p w14:paraId="1591D432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Wydatki na zakup sprzętu, oprogramowania i wyposażenia, które można bezpośrednio powiązać </w:t>
      </w:r>
      <w:r>
        <w:rPr>
          <w:rFonts w:ascii="Arial" w:hAnsi="Arial" w:cs="Arial"/>
          <w:sz w:val="20"/>
          <w:szCs w:val="20"/>
        </w:rPr>
        <w:br/>
        <w:t>z pracownikiem są kwalifikowalne i mogą być w całości finansowane ze środków pomocy technicznej  w przypadku pracowników, wykonujących (zgodnie z opisami stanowisk pracy/kartami czasu pracy) zadania kwalifikowalne przez co najmniej 50% czasu pracy.</w:t>
      </w:r>
    </w:p>
    <w:p w14:paraId="16863618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 1: Podział wydatków pomiędzy PO w przypadku, gdy pracownik łącznie wykonuje zadania </w:t>
      </w:r>
      <w:r>
        <w:rPr>
          <w:rFonts w:ascii="Arial" w:hAnsi="Arial" w:cs="Arial"/>
          <w:sz w:val="20"/>
          <w:szCs w:val="20"/>
        </w:rPr>
        <w:br/>
        <w:t>w zakresie większym lub równym niż 50%.</w:t>
      </w:r>
    </w:p>
    <w:p w14:paraId="35D5E57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007BB" w14:paraId="75DE3D65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9F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90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1C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9F4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63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wydatku</w:t>
            </w:r>
          </w:p>
        </w:tc>
      </w:tr>
      <w:tr w:rsidR="007007BB" w14:paraId="0B0C4FEB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435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0A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D0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51D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CFD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= 4 x 1 000 zł</w:t>
            </w:r>
          </w:p>
        </w:tc>
      </w:tr>
      <w:tr w:rsidR="007007BB" w14:paraId="1B7F89F4" w14:textId="77777777" w:rsidTr="0002762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9CC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215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E6C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60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4D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 zł</w:t>
            </w:r>
          </w:p>
        </w:tc>
      </w:tr>
      <w:tr w:rsidR="007007BB" w14:paraId="687E55DC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140F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42B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3F7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6C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A63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zł</w:t>
            </w:r>
          </w:p>
        </w:tc>
      </w:tr>
      <w:tr w:rsidR="007007BB" w14:paraId="68BBB8DA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682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E0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8D8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BB8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55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 zł</w:t>
            </w:r>
          </w:p>
        </w:tc>
      </w:tr>
      <w:tr w:rsidR="007007BB" w14:paraId="00F95467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7504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CA8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9AF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55A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182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zł</w:t>
            </w:r>
          </w:p>
        </w:tc>
      </w:tr>
      <w:tr w:rsidR="007007BB" w14:paraId="120A4568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9F8C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D8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9E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E4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F3A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2F15644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B59651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Współczynnik finansowania = </w:t>
      </w:r>
      <w:r>
        <w:rPr>
          <w:rFonts w:ascii="Arial" w:hAnsi="Arial" w:cs="Arial"/>
          <w:sz w:val="20"/>
          <w:szCs w:val="20"/>
          <w:u w:val="single"/>
        </w:rPr>
        <w:t>%kwalifikowalności PO x 100%</w:t>
      </w:r>
    </w:p>
    <w:p w14:paraId="6B54920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∑ kwalifikowalności wszystkich PO</w:t>
      </w:r>
    </w:p>
    <w:p w14:paraId="26738A1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Wydatki na sprzęt i wyposażenie dla pracowników, którzy wykonują zadania kwalifikowalne </w:t>
      </w:r>
      <w:r>
        <w:rPr>
          <w:rFonts w:ascii="Arial" w:hAnsi="Arial" w:cs="Arial"/>
          <w:sz w:val="20"/>
          <w:szCs w:val="20"/>
        </w:rPr>
        <w:br/>
        <w:t xml:space="preserve">w mniejszym zakresie niż 50% czasu pracy, są kwalifikowalne proporcjonalnie do zaangażowania. </w:t>
      </w:r>
      <w:r>
        <w:rPr>
          <w:rFonts w:ascii="Arial" w:hAnsi="Arial" w:cs="Arial"/>
          <w:sz w:val="20"/>
          <w:szCs w:val="20"/>
        </w:rPr>
        <w:br/>
        <w:t>W przypadku, gdy dany pracownik jest zaangażowany we wdrażanie różnych PO, koszty rozliczne są proporcjonalnie do zaangażowania w dany PO.</w:t>
      </w:r>
    </w:p>
    <w:p w14:paraId="3984482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 2: Podział wydatków pomiędzy PO w przypadku, gdy pracownik łącznie wykonuje zadania w zakresie mniejszym niż 50%.</w:t>
      </w:r>
    </w:p>
    <w:p w14:paraId="22D1C15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35"/>
        <w:gridCol w:w="2410"/>
        <w:gridCol w:w="2693"/>
      </w:tblGrid>
      <w:tr w:rsidR="007007BB" w14:paraId="314C0D0A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E12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6E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2F9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246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wydatku</w:t>
            </w:r>
          </w:p>
        </w:tc>
      </w:tr>
      <w:tr w:rsidR="007007BB" w14:paraId="7D3BBCFB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0F5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C31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037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77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3 x 1 000 zł</w:t>
            </w:r>
          </w:p>
        </w:tc>
      </w:tr>
      <w:tr w:rsidR="007007BB" w14:paraId="03DF3742" w14:textId="77777777" w:rsidTr="0002762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F10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7F8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36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0F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zł</w:t>
            </w:r>
          </w:p>
        </w:tc>
      </w:tr>
      <w:tr w:rsidR="007007BB" w14:paraId="39BD1D4E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89B0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ECF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C8B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102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zł</w:t>
            </w:r>
          </w:p>
        </w:tc>
      </w:tr>
      <w:tr w:rsidR="007007BB" w14:paraId="43C386AD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0637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D6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451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906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zł</w:t>
            </w:r>
          </w:p>
        </w:tc>
      </w:tr>
      <w:tr w:rsidR="007007BB" w14:paraId="07C87E50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6AB9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6C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79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581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 zł</w:t>
            </w:r>
          </w:p>
        </w:tc>
      </w:tr>
      <w:tr w:rsidR="007007BB" w14:paraId="05C89363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7963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8E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391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40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zł</w:t>
            </w:r>
          </w:p>
        </w:tc>
      </w:tr>
    </w:tbl>
    <w:p w14:paraId="7ACAF934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C74197" w14:textId="5196C59C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 sprzętu i wyposażenia, którego nie można bezpośrednio powiązać z pracownikiem (np. drukarki sieciowe, kserokopiarki, tonery do drukarek itp.) i jest on nabywany na potrzeby </w:t>
      </w:r>
      <w:r w:rsidR="00BD75AF">
        <w:rPr>
          <w:rFonts w:ascii="Arial" w:hAnsi="Arial" w:cs="Arial"/>
          <w:sz w:val="20"/>
          <w:szCs w:val="20"/>
        </w:rPr>
        <w:t xml:space="preserve">komórki </w:t>
      </w:r>
      <w:r>
        <w:rPr>
          <w:rFonts w:ascii="Arial" w:hAnsi="Arial" w:cs="Arial"/>
          <w:sz w:val="20"/>
          <w:szCs w:val="20"/>
        </w:rPr>
        <w:t>organizacyjnej, należy finansować ze środków pomocy technicznej w oparciu</w:t>
      </w:r>
      <w:r w:rsidR="00B752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B752A6">
        <w:rPr>
          <w:rFonts w:ascii="Arial" w:hAnsi="Arial" w:cs="Arial"/>
          <w:sz w:val="20"/>
          <w:szCs w:val="20"/>
        </w:rPr>
        <w:t xml:space="preserve"> </w:t>
      </w:r>
      <w:r w:rsidR="0040112B">
        <w:rPr>
          <w:rFonts w:ascii="Arial" w:hAnsi="Arial" w:cs="Arial"/>
          <w:sz w:val="20"/>
          <w:szCs w:val="20"/>
        </w:rPr>
        <w:t>odpowiedni</w:t>
      </w:r>
      <w:r>
        <w:rPr>
          <w:rFonts w:ascii="Arial" w:hAnsi="Arial" w:cs="Arial"/>
          <w:sz w:val="20"/>
          <w:szCs w:val="20"/>
        </w:rPr>
        <w:t xml:space="preserve"> wskaźnik kwalifikowalności zadań finansowanych z pomocy technicznej danego PO.</w:t>
      </w:r>
    </w:p>
    <w:p w14:paraId="122C27E2" w14:textId="77777777" w:rsidR="007007BB" w:rsidRPr="00641F32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Jeżeli sprzęt lub wyposażenie, którego nie można bezpośrednio powiązać z pracownikiem jest nabywany wyłącznie na potrzeby instytucji zajmującej się obsługą funduszy polityki spójności, a średni poziom kwalifikowalności pracowników instytucji wynosi co najmniej 50%, wtedy wydatki takie można sfinansować w całości ze środków pomocy technicznej (przykład 1).</w:t>
      </w:r>
    </w:p>
    <w:p w14:paraId="4302BD67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 (podnoszenie kwalifikacji)</w:t>
      </w:r>
    </w:p>
    <w:p w14:paraId="5B28EA03" w14:textId="2027C418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podnoszenia kwalifikacji pracowników, którzy wykonują zadania kwalifikowalne na rzecz funduszy polityki spójności w co najmniej 50% (zgodnie z opisem stanowiska pracy), mogą zostać rozliczone w całości z pomocy technicznej.</w:t>
      </w:r>
    </w:p>
    <w:p w14:paraId="4BA66DE0" w14:textId="309A9F11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stanowisko pracy zaangażowane jest w pracę na rzecz więcej niż jednego PO, a szkolenie dotyczy jednego PO, wtedy koszt szkolenia ponoszony jest ze środków właściwego PO. </w:t>
      </w:r>
    </w:p>
    <w:p w14:paraId="4AD1FCB9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szkolenia może być sfinansowany w całości z pomocy technicznej danego PO, jeżeli łączny poziom kwalifikowalności stanowiska pracy jest większy lub równy 50% (przykład 3).</w:t>
      </w:r>
    </w:p>
    <w:p w14:paraId="74D9109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stanowisk pracy, których poziom kwalifikowalności jest mniejszy niż 50%:</w:t>
      </w:r>
    </w:p>
    <w:p w14:paraId="465E19FE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koszty szkoleń, których tematyka jest bezpośrednio związana z realizacją funduszy polityki spójności są kwalifikowalne w 100%,</w:t>
      </w:r>
    </w:p>
    <w:p w14:paraId="2317F47A" w14:textId="36D51A8E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koszty pozostałych szkoleń (np. kursy językowe, MS Office) kwalifikowalne są zgodnie  z poziomem kwalifikowalności stanowiska pracy.</w:t>
      </w:r>
    </w:p>
    <w:p w14:paraId="690A9F92" w14:textId="77777777" w:rsidR="007007BB" w:rsidRPr="000D2E6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dane stanowisko pracy jest zaangażowane we wdrażanie różnych PO, koszty szkoleń są rozliczane proporcjonalnie do zaangażowania w dany PO.</w:t>
      </w:r>
    </w:p>
    <w:p w14:paraId="5798872B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 3: Podział wydatków pomiędzy PO w przypadku, gdy pracownik zajmuje stanowisko pracy kwalifikowalne w zakresie większym lub równym 50% (w zakresie szkoleń funduszowych </w:t>
      </w:r>
      <w:r>
        <w:rPr>
          <w:rFonts w:ascii="Arial" w:hAnsi="Arial" w:cs="Arial"/>
          <w:sz w:val="20"/>
          <w:szCs w:val="20"/>
        </w:rPr>
        <w:br/>
        <w:t>i pozostałych).</w:t>
      </w:r>
    </w:p>
    <w:p w14:paraId="11866260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007BB" w14:paraId="6D687211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C9F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22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C2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22B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368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Podział wydatku</w:t>
            </w:r>
          </w:p>
        </w:tc>
      </w:tr>
      <w:tr w:rsidR="007007BB" w14:paraId="2A1E37E5" w14:textId="77777777" w:rsidTr="0002762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E9C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CEB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FE4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9B5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751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= 4 x 1 000 zł</w:t>
            </w:r>
          </w:p>
        </w:tc>
      </w:tr>
      <w:tr w:rsidR="007007BB" w14:paraId="5E41D0FB" w14:textId="77777777" w:rsidTr="0002762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0C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Pracownik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74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D83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02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A67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 zł</w:t>
            </w:r>
          </w:p>
        </w:tc>
      </w:tr>
      <w:tr w:rsidR="007007BB" w14:paraId="14B43468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132A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EDE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80D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CF9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E6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zł</w:t>
            </w:r>
          </w:p>
        </w:tc>
      </w:tr>
      <w:tr w:rsidR="007007BB" w14:paraId="5039DEB1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30DA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87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AA7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B79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14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 zł</w:t>
            </w:r>
          </w:p>
        </w:tc>
      </w:tr>
      <w:tr w:rsidR="007007BB" w14:paraId="74642345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FAF9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80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16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CC1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41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1 000 zł</w:t>
            </w:r>
          </w:p>
        </w:tc>
      </w:tr>
      <w:tr w:rsidR="007007BB" w14:paraId="0A658E49" w14:textId="77777777" w:rsidTr="00027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ABF" w14:textId="77777777" w:rsidR="007007BB" w:rsidRDefault="007007BB" w:rsidP="00027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4D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413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B16B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2DB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751035B9" w14:textId="374261FC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E9FBAD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Współczynnik finansowania = </w:t>
      </w:r>
      <w:r>
        <w:rPr>
          <w:rFonts w:ascii="Arial" w:hAnsi="Arial" w:cs="Arial"/>
          <w:sz w:val="20"/>
          <w:szCs w:val="20"/>
          <w:u w:val="single"/>
        </w:rPr>
        <w:t>%kwalifikowalności PO x 100%</w:t>
      </w:r>
    </w:p>
    <w:p w14:paraId="7068E1C1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∑ kwalifikowalności wszystkich PO</w:t>
      </w:r>
    </w:p>
    <w:p w14:paraId="3EC65D2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 4: Podział wydatków pomiędzy PO w zakresie szkoleń funduszowych lub pozostałych, </w:t>
      </w:r>
      <w:r>
        <w:rPr>
          <w:rFonts w:ascii="Arial" w:hAnsi="Arial" w:cs="Arial"/>
          <w:sz w:val="20"/>
          <w:szCs w:val="20"/>
        </w:rPr>
        <w:br/>
        <w:t>w przypadku, gdy pracownik zajmuje stanowisko pracy kwalifikowalne w zakresie mniejszym niż 50%.</w:t>
      </w:r>
    </w:p>
    <w:p w14:paraId="5AF0321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972"/>
        <w:gridCol w:w="1577"/>
        <w:gridCol w:w="1773"/>
        <w:gridCol w:w="1693"/>
        <w:gridCol w:w="2168"/>
      </w:tblGrid>
      <w:tr w:rsidR="007007BB" w14:paraId="2E8C73F5" w14:textId="77777777" w:rsidTr="00197A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023C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Pracownik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C1F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59C8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Kwalifikowalność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25B2" w14:textId="77777777" w:rsidR="007007BB" w:rsidRPr="00197A00" w:rsidRDefault="007007BB" w:rsidP="000276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Podział wydatku – szkolenia pozostałe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07EA" w14:textId="77777777" w:rsidR="007007BB" w:rsidRPr="00197A00" w:rsidRDefault="007007BB" w:rsidP="000276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Współczynnik finansowania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655D" w14:textId="77777777" w:rsidR="007007BB" w:rsidRPr="00197A00" w:rsidRDefault="007007BB" w:rsidP="0002762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Podział wydatku – szkolenia funduszowe</w:t>
            </w:r>
          </w:p>
        </w:tc>
      </w:tr>
      <w:tr w:rsidR="007007BB" w14:paraId="396A321A" w14:textId="77777777" w:rsidTr="00197A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94E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243A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BEA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EB7B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4 = 3 x 1000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B89B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3F1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035C">
              <w:rPr>
                <w:rFonts w:ascii="Arial" w:hAnsi="Arial" w:cs="Arial"/>
                <w:b/>
                <w:sz w:val="18"/>
                <w:szCs w:val="18"/>
              </w:rPr>
              <w:t>6 = współczynnik finansowania x 1000 zł</w:t>
            </w:r>
          </w:p>
        </w:tc>
      </w:tr>
      <w:tr w:rsidR="007007BB" w14:paraId="6723CA42" w14:textId="77777777" w:rsidTr="00197A0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E936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Pracownik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5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324C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81D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4B00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268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250 zł</w:t>
            </w:r>
          </w:p>
        </w:tc>
      </w:tr>
      <w:tr w:rsidR="007007BB" w14:paraId="122CD462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3A6A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D8AF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AC27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AAA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0765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8D27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500 zł</w:t>
            </w:r>
          </w:p>
        </w:tc>
      </w:tr>
      <w:tr w:rsidR="007007BB" w14:paraId="7AA713CB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6474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078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PO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568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E7E5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101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ECCB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250 zł</w:t>
            </w:r>
          </w:p>
        </w:tc>
      </w:tr>
      <w:tr w:rsidR="007007BB" w14:paraId="680006DF" w14:textId="77777777" w:rsidTr="00197A00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40D0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655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Razem 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DB12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2B0A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400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EE1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1C2F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1 000 zł</w:t>
            </w:r>
          </w:p>
        </w:tc>
      </w:tr>
      <w:tr w:rsidR="007007BB" w14:paraId="4A663F57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8402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2941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501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84C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600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872E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B2B3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  <w:tr w:rsidR="007007BB" w14:paraId="74E9B5C3" w14:textId="77777777" w:rsidTr="00197A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BCEE" w14:textId="77777777" w:rsidR="007007BB" w:rsidRPr="00197A00" w:rsidRDefault="007007BB" w:rsidP="00027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583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FE45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214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1 000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57E9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1 000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336D" w14:textId="77777777" w:rsidR="007007BB" w:rsidRPr="00197A00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7A00">
              <w:rPr>
                <w:rFonts w:ascii="Arial" w:hAnsi="Arial" w:cs="Arial"/>
                <w:sz w:val="18"/>
                <w:szCs w:val="20"/>
              </w:rPr>
              <w:t>1 000 zł</w:t>
            </w:r>
          </w:p>
        </w:tc>
      </w:tr>
    </w:tbl>
    <w:p w14:paraId="44EEE50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D4FE0F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4 (zakup prasy i publikacji, usług pocztowych i kurierskich)</w:t>
      </w:r>
    </w:p>
    <w:p w14:paraId="552347FC" w14:textId="4D5FE01E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Rozliczenie wydatku kwalifikowanego nastąpi w oparciu o przemnożenie pozycji z faktury przez </w:t>
      </w:r>
      <w:r w:rsidR="00C72DA3">
        <w:rPr>
          <w:rFonts w:ascii="Arial" w:hAnsi="Arial" w:cs="Arial"/>
          <w:sz w:val="20"/>
          <w:szCs w:val="20"/>
        </w:rPr>
        <w:t xml:space="preserve">odpowiedni </w:t>
      </w:r>
      <w:r>
        <w:rPr>
          <w:rFonts w:ascii="Arial" w:hAnsi="Arial" w:cs="Arial"/>
          <w:sz w:val="20"/>
          <w:szCs w:val="20"/>
        </w:rPr>
        <w:t>wskaźnik kwalifikowalności zadań finansowanych z pomocy technicznej</w:t>
      </w:r>
      <w:r w:rsidR="00BE2C04">
        <w:rPr>
          <w:rFonts w:ascii="Arial" w:hAnsi="Arial" w:cs="Arial"/>
          <w:sz w:val="20"/>
          <w:szCs w:val="20"/>
        </w:rPr>
        <w:t xml:space="preserve"> dla danej </w:t>
      </w:r>
      <w:r w:rsidR="00C72DA3">
        <w:rPr>
          <w:rFonts w:ascii="Arial" w:hAnsi="Arial" w:cs="Arial"/>
          <w:sz w:val="20"/>
          <w:szCs w:val="20"/>
        </w:rPr>
        <w:t>komórki</w:t>
      </w:r>
      <w:r w:rsidR="00BE2C04">
        <w:rPr>
          <w:rFonts w:ascii="Arial" w:hAnsi="Arial" w:cs="Arial"/>
          <w:sz w:val="20"/>
          <w:szCs w:val="20"/>
        </w:rPr>
        <w:t xml:space="preserve"> organizacyjnej.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8D73C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komórka organizacyjna zaangażowana jest w realizację zadań kwalifikowalnych w ramach kilku PO, koszty na poszczególne PO należy wyliczyć proporcjonalnie do zaangażowania.</w:t>
      </w:r>
    </w:p>
    <w:p w14:paraId="5E9F5BFA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5 (adaptacja, remont, modernizacja oraz utrzymanie powierzchni)</w:t>
      </w:r>
    </w:p>
    <w:p w14:paraId="229878FD" w14:textId="7A716CE9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Poziom kwalifikowalności wydatków, których nie można jednostkowo przypisać do stanowiska pracy (np. czynsze, media, remonty, abonamenty) powinien wynikać ze średniego poziomu kwalifikowalności stanowisk pracy, liczonego dla danej </w:t>
      </w:r>
      <w:r w:rsidR="00C72DA3">
        <w:rPr>
          <w:rFonts w:ascii="Arial" w:hAnsi="Arial" w:cs="Arial"/>
          <w:sz w:val="20"/>
          <w:szCs w:val="20"/>
        </w:rPr>
        <w:t xml:space="preserve">komórki </w:t>
      </w:r>
      <w:r>
        <w:rPr>
          <w:rFonts w:ascii="Arial" w:hAnsi="Arial" w:cs="Arial"/>
          <w:sz w:val="20"/>
          <w:szCs w:val="20"/>
        </w:rPr>
        <w:t xml:space="preserve">organizacyjnej </w:t>
      </w:r>
      <w:r w:rsidR="00C72DA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danej lokalizacji </w:t>
      </w:r>
      <w:r w:rsidR="00C72DA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budynku).</w:t>
      </w:r>
    </w:p>
    <w:p w14:paraId="485B7959" w14:textId="6C6C2B91" w:rsidR="00BE2C04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Rozliczenie wydatku kwalifikowanego nastąpi w oparciu o przemnożenie pozycji z faktury przez </w:t>
      </w:r>
      <w:r w:rsidR="00922E23">
        <w:rPr>
          <w:rFonts w:ascii="Arial" w:hAnsi="Arial" w:cs="Arial"/>
          <w:sz w:val="20"/>
          <w:szCs w:val="20"/>
        </w:rPr>
        <w:t xml:space="preserve">udział powierzchni zajmowanej w celu realizacji </w:t>
      </w:r>
      <w:r w:rsidR="00922E23" w:rsidRPr="00DC5EEB">
        <w:rPr>
          <w:rFonts w:ascii="Arial" w:hAnsi="Arial" w:cs="Arial"/>
          <w:sz w:val="20"/>
          <w:szCs w:val="20"/>
        </w:rPr>
        <w:t xml:space="preserve">zadań związanych z </w:t>
      </w:r>
      <w:r w:rsidR="00ED02E2">
        <w:rPr>
          <w:rFonts w:ascii="Arial" w:hAnsi="Arial" w:cs="Arial"/>
          <w:sz w:val="20"/>
          <w:szCs w:val="20"/>
        </w:rPr>
        <w:t>RPO WZ 2014-</w:t>
      </w:r>
      <w:r w:rsidR="00922E23" w:rsidRPr="00DC5EEB">
        <w:rPr>
          <w:rFonts w:ascii="Arial" w:hAnsi="Arial" w:cs="Arial"/>
          <w:sz w:val="20"/>
          <w:szCs w:val="20"/>
        </w:rPr>
        <w:t>2020</w:t>
      </w:r>
      <w:r w:rsidR="00922E23">
        <w:rPr>
          <w:rFonts w:ascii="Arial" w:hAnsi="Arial" w:cs="Arial"/>
          <w:sz w:val="20"/>
          <w:szCs w:val="20"/>
        </w:rPr>
        <w:t xml:space="preserve"> w powierzchni ogółem zajmowanej przez WFOŚiGW w danym budynku</w:t>
      </w:r>
      <w:r w:rsidR="00AE7FEB">
        <w:rPr>
          <w:rFonts w:ascii="Arial" w:hAnsi="Arial" w:cs="Arial"/>
          <w:sz w:val="20"/>
          <w:szCs w:val="20"/>
        </w:rPr>
        <w:t xml:space="preserve"> (na podstawie danych przekazanych przez Zespół Administracji i Promocji)</w:t>
      </w:r>
      <w:r w:rsidR="00922E23">
        <w:rPr>
          <w:rFonts w:ascii="Arial" w:hAnsi="Arial" w:cs="Arial"/>
          <w:sz w:val="20"/>
          <w:szCs w:val="20"/>
        </w:rPr>
        <w:t>, a następnie przez</w:t>
      </w:r>
      <w:r>
        <w:rPr>
          <w:rFonts w:ascii="Arial" w:hAnsi="Arial" w:cs="Arial"/>
          <w:sz w:val="20"/>
          <w:szCs w:val="20"/>
        </w:rPr>
        <w:t xml:space="preserve"> </w:t>
      </w:r>
      <w:r w:rsidR="00922E23" w:rsidRPr="00420A50">
        <w:rPr>
          <w:rFonts w:ascii="Arial" w:hAnsi="Arial" w:cs="Arial"/>
          <w:sz w:val="20"/>
          <w:szCs w:val="20"/>
        </w:rPr>
        <w:t>wskaźnik kwalifikowalności dla</w:t>
      </w:r>
      <w:r w:rsidR="00922E23">
        <w:rPr>
          <w:rFonts w:ascii="Arial" w:hAnsi="Arial" w:cs="Arial"/>
          <w:sz w:val="20"/>
          <w:szCs w:val="20"/>
        </w:rPr>
        <w:t xml:space="preserve"> Zespołu ds. RPO WZ</w:t>
      </w:r>
      <w:r w:rsidR="00BE2C04">
        <w:rPr>
          <w:rFonts w:ascii="Arial" w:hAnsi="Arial" w:cs="Arial"/>
          <w:sz w:val="20"/>
          <w:szCs w:val="20"/>
        </w:rPr>
        <w:t>.</w:t>
      </w:r>
    </w:p>
    <w:p w14:paraId="43263C9C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komórka organizacyjna zaangażowana jest w realizację zadań kwalifikowalnych w ramach kilku PO, koszty na poszczególne PO należy wyliczyć proporcjonalnie do zaangażowania.</w:t>
      </w:r>
    </w:p>
    <w:p w14:paraId="0F33C165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Przykład 5: Podział wydatków pomiędzy PO</w:t>
      </w:r>
    </w:p>
    <w:p w14:paraId="4F8EF6D7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Wydatek: 1 000 zł.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904"/>
        <w:gridCol w:w="992"/>
        <w:gridCol w:w="1134"/>
        <w:gridCol w:w="993"/>
        <w:gridCol w:w="1275"/>
        <w:gridCol w:w="858"/>
        <w:gridCol w:w="1003"/>
        <w:gridCol w:w="1082"/>
      </w:tblGrid>
      <w:tr w:rsidR="007007BB" w:rsidRPr="005D035C" w14:paraId="4E72E1D9" w14:textId="77777777" w:rsidTr="00197A00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63F5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Pracownik 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D47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ED61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Kwalifikowalność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5AE2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Pracownik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763B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7F03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Kwalifikowalność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7E2A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68F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BBF8" w14:textId="77777777" w:rsidR="007007BB" w:rsidRPr="005D035C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35C">
              <w:rPr>
                <w:rFonts w:ascii="Arial" w:hAnsi="Arial" w:cs="Arial"/>
                <w:sz w:val="18"/>
                <w:szCs w:val="18"/>
              </w:rPr>
              <w:t>Podział wydatku</w:t>
            </w:r>
          </w:p>
        </w:tc>
      </w:tr>
      <w:tr w:rsidR="007007BB" w14:paraId="4C42176F" w14:textId="77777777" w:rsidTr="00197A00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29FC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E76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40A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FCB1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73C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F6D5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21A6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FBB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8=(3+6)/2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DC23" w14:textId="77777777" w:rsidR="007007BB" w:rsidRDefault="007007BB" w:rsidP="00027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9=wydatek x 8</w:t>
            </w:r>
          </w:p>
        </w:tc>
      </w:tr>
      <w:tr w:rsidR="007007BB" w14:paraId="1AE590A1" w14:textId="77777777" w:rsidTr="00197A00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CAC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 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2D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357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299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Pracownik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0E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010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7A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A6C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5D1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 zł</w:t>
            </w:r>
          </w:p>
        </w:tc>
      </w:tr>
      <w:tr w:rsidR="007007BB" w14:paraId="00A4BD50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31D3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47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AAA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CE2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F96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B87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3F83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AB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DE6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 zł</w:t>
            </w:r>
          </w:p>
        </w:tc>
      </w:tr>
      <w:tr w:rsidR="007007BB" w14:paraId="5D69D4CB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6500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105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10F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8689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EF1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D7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5C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71B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92D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zł</w:t>
            </w:r>
          </w:p>
        </w:tc>
      </w:tr>
      <w:tr w:rsidR="007007BB" w14:paraId="5237DF74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458B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AF2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33D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ED03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7C8F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4627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59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3060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35,5%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A9A4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 zł</w:t>
            </w:r>
          </w:p>
        </w:tc>
      </w:tr>
      <w:tr w:rsidR="007007BB" w14:paraId="23B2A8CB" w14:textId="77777777" w:rsidTr="00197A00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4E0A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BADD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72F9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8742" w14:textId="77777777" w:rsidR="007007BB" w:rsidRDefault="007007BB" w:rsidP="000276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CFC8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1F92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DCE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928A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95A6" w14:textId="77777777" w:rsidR="007007BB" w:rsidRDefault="007007BB" w:rsidP="000276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 zł</w:t>
            </w:r>
          </w:p>
        </w:tc>
      </w:tr>
    </w:tbl>
    <w:p w14:paraId="18024306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D1F767" w14:textId="77777777" w:rsidR="007007BB" w:rsidRDefault="007007BB" w:rsidP="007007B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6 (organizacja spotkań związanych z wdrażaniem funduszy strukturalnych)</w:t>
      </w:r>
    </w:p>
    <w:p w14:paraId="539A8CE1" w14:textId="365E768C" w:rsidR="00616922" w:rsidRPr="00616922" w:rsidRDefault="00616922" w:rsidP="006169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6922">
        <w:rPr>
          <w:rFonts w:ascii="Arial" w:hAnsi="Arial" w:cs="Arial"/>
          <w:sz w:val="20"/>
          <w:szCs w:val="20"/>
        </w:rPr>
        <w:t>W przypadku organizacji spotkań, konferencji, konferencji szkoleniowych, warsztatów których tematyka związana jest z wdrażaniem funduszy strukturalnych, rozliczenie wydatku kwalifikowanego nastąpi w oparciu o przemnożenie pozycji faktury przez wskaźnik kwalifikowalności wynikający z procentowego udziału tematyki dot. poszczególnych PO w stosunku do całości tematyki spotka</w:t>
      </w:r>
      <w:r w:rsidR="00ED773F">
        <w:rPr>
          <w:rFonts w:ascii="Arial" w:hAnsi="Arial" w:cs="Arial"/>
          <w:sz w:val="20"/>
          <w:szCs w:val="20"/>
        </w:rPr>
        <w:t>nia</w:t>
      </w:r>
      <w:r w:rsidRPr="00616922">
        <w:rPr>
          <w:rFonts w:ascii="Arial" w:hAnsi="Arial" w:cs="Arial"/>
          <w:sz w:val="20"/>
          <w:szCs w:val="20"/>
        </w:rPr>
        <w:t>, konferencji, konferencji szkoleniowych, warsztat</w:t>
      </w:r>
      <w:r w:rsidR="00ED773F">
        <w:rPr>
          <w:rFonts w:ascii="Arial" w:hAnsi="Arial" w:cs="Arial"/>
          <w:sz w:val="20"/>
          <w:szCs w:val="20"/>
        </w:rPr>
        <w:t>u</w:t>
      </w:r>
      <w:r w:rsidRPr="00616922">
        <w:rPr>
          <w:rFonts w:ascii="Arial" w:hAnsi="Arial" w:cs="Arial"/>
          <w:sz w:val="20"/>
          <w:szCs w:val="20"/>
        </w:rPr>
        <w:t>.</w:t>
      </w:r>
      <w:r w:rsidR="00ED773F">
        <w:rPr>
          <w:rFonts w:ascii="Arial" w:hAnsi="Arial" w:cs="Arial"/>
          <w:sz w:val="20"/>
          <w:szCs w:val="20"/>
        </w:rPr>
        <w:t xml:space="preserve"> Całość t</w:t>
      </w:r>
      <w:r w:rsidR="001C7686">
        <w:rPr>
          <w:rFonts w:ascii="Arial" w:hAnsi="Arial" w:cs="Arial"/>
          <w:sz w:val="20"/>
          <w:szCs w:val="20"/>
        </w:rPr>
        <w:t>ematyk</w:t>
      </w:r>
      <w:r w:rsidR="00ED773F">
        <w:rPr>
          <w:rFonts w:ascii="Arial" w:hAnsi="Arial" w:cs="Arial"/>
          <w:sz w:val="20"/>
          <w:szCs w:val="20"/>
        </w:rPr>
        <w:t>i</w:t>
      </w:r>
      <w:r w:rsidR="001C7686">
        <w:rPr>
          <w:rFonts w:ascii="Arial" w:hAnsi="Arial" w:cs="Arial"/>
          <w:sz w:val="20"/>
          <w:szCs w:val="20"/>
        </w:rPr>
        <w:t xml:space="preserve"> </w:t>
      </w:r>
      <w:r w:rsidR="009978A3">
        <w:rPr>
          <w:rFonts w:ascii="Arial" w:hAnsi="Arial" w:cs="Arial"/>
          <w:sz w:val="20"/>
          <w:szCs w:val="20"/>
        </w:rPr>
        <w:t>spotkania</w:t>
      </w:r>
      <w:r w:rsidR="009978A3" w:rsidRPr="00616922">
        <w:rPr>
          <w:rFonts w:ascii="Arial" w:hAnsi="Arial" w:cs="Arial"/>
          <w:sz w:val="20"/>
          <w:szCs w:val="20"/>
        </w:rPr>
        <w:t xml:space="preserve"> </w:t>
      </w:r>
      <w:r w:rsidR="001C7686">
        <w:rPr>
          <w:rFonts w:ascii="Arial" w:hAnsi="Arial" w:cs="Arial"/>
          <w:sz w:val="20"/>
          <w:szCs w:val="20"/>
        </w:rPr>
        <w:t>wynika z agendy</w:t>
      </w:r>
      <w:r w:rsidR="002F5F10">
        <w:rPr>
          <w:rFonts w:ascii="Arial" w:hAnsi="Arial" w:cs="Arial"/>
          <w:sz w:val="20"/>
          <w:szCs w:val="20"/>
        </w:rPr>
        <w:t>.</w:t>
      </w:r>
      <w:r w:rsidR="001C7686">
        <w:rPr>
          <w:rFonts w:ascii="Arial" w:hAnsi="Arial" w:cs="Arial"/>
          <w:sz w:val="20"/>
          <w:szCs w:val="20"/>
        </w:rPr>
        <w:t xml:space="preserve"> </w:t>
      </w:r>
    </w:p>
    <w:p w14:paraId="69B74E28" w14:textId="133D5068" w:rsidR="00616922" w:rsidRDefault="00616922" w:rsidP="006169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6922">
        <w:rPr>
          <w:rFonts w:ascii="Arial" w:hAnsi="Arial" w:cs="Arial"/>
          <w:sz w:val="20"/>
          <w:szCs w:val="20"/>
        </w:rPr>
        <w:t xml:space="preserve">Spotkania, konferencje, konferencje szkoleniowe, warsztaty, których tematyka dotyczy konkretnego PO będą finansowane w całości z pomocy technicznej </w:t>
      </w:r>
      <w:r w:rsidR="00ED773F">
        <w:rPr>
          <w:rFonts w:ascii="Arial" w:hAnsi="Arial" w:cs="Arial"/>
          <w:sz w:val="20"/>
          <w:szCs w:val="20"/>
        </w:rPr>
        <w:t>danego</w:t>
      </w:r>
      <w:r w:rsidRPr="00616922">
        <w:rPr>
          <w:rFonts w:ascii="Arial" w:hAnsi="Arial" w:cs="Arial"/>
          <w:sz w:val="20"/>
          <w:szCs w:val="20"/>
        </w:rPr>
        <w:t xml:space="preserve"> PO.</w:t>
      </w:r>
    </w:p>
    <w:p w14:paraId="3A64752A" w14:textId="343B7D56" w:rsidR="000E3CBB" w:rsidRDefault="000E3CBB" w:rsidP="000E3C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7 (Biuletyny</w:t>
      </w:r>
      <w:r w:rsidR="00197A00">
        <w:rPr>
          <w:rFonts w:ascii="Arial" w:hAnsi="Arial" w:cs="Arial"/>
          <w:b/>
          <w:sz w:val="20"/>
          <w:szCs w:val="20"/>
        </w:rPr>
        <w:t>, artykuły</w:t>
      </w:r>
      <w:r>
        <w:rPr>
          <w:rFonts w:ascii="Arial" w:hAnsi="Arial" w:cs="Arial"/>
          <w:b/>
          <w:sz w:val="20"/>
          <w:szCs w:val="20"/>
        </w:rPr>
        <w:t xml:space="preserve"> i audycje radiowe)</w:t>
      </w:r>
    </w:p>
    <w:p w14:paraId="6E1BA359" w14:textId="05EEE133" w:rsidR="000E3CBB" w:rsidRDefault="000E3CBB" w:rsidP="000E3C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Rozliczenie wydatku kwalifikowanego w przypadku wydruku materiałów informacyjnych i promocyjnych takich jak np. Biuletyny</w:t>
      </w:r>
      <w:r w:rsidR="008718BB">
        <w:rPr>
          <w:rFonts w:ascii="Arial" w:hAnsi="Arial" w:cs="Arial"/>
          <w:sz w:val="20"/>
          <w:szCs w:val="20"/>
        </w:rPr>
        <w:t>, artykuły, audycje radiowe</w:t>
      </w:r>
      <w:r>
        <w:rPr>
          <w:rFonts w:ascii="Arial" w:hAnsi="Arial" w:cs="Arial"/>
          <w:sz w:val="20"/>
          <w:szCs w:val="20"/>
        </w:rPr>
        <w:t xml:space="preserve"> nastąpi w oparciu o przemnożenie pozycji z faktury przez wskaźnik </w:t>
      </w:r>
      <w:r w:rsidRPr="00616922">
        <w:rPr>
          <w:rFonts w:ascii="Arial" w:hAnsi="Arial" w:cs="Arial"/>
          <w:sz w:val="20"/>
          <w:szCs w:val="20"/>
        </w:rPr>
        <w:t>kwalifikowalności wynikający z procentowego udziału tematyki dot. poszczególnych PO w stosunku do całości tematyki</w:t>
      </w:r>
      <w:r>
        <w:rPr>
          <w:rFonts w:ascii="Arial" w:hAnsi="Arial" w:cs="Arial"/>
          <w:sz w:val="20"/>
          <w:szCs w:val="20"/>
        </w:rPr>
        <w:t>. Udział</w:t>
      </w:r>
      <w:r w:rsidR="008718BB">
        <w:rPr>
          <w:rFonts w:ascii="Arial" w:hAnsi="Arial" w:cs="Arial"/>
          <w:sz w:val="20"/>
          <w:szCs w:val="20"/>
        </w:rPr>
        <w:t xml:space="preserve"> tematyki</w:t>
      </w:r>
      <w:r>
        <w:rPr>
          <w:rFonts w:ascii="Arial" w:hAnsi="Arial" w:cs="Arial"/>
          <w:sz w:val="20"/>
          <w:szCs w:val="20"/>
        </w:rPr>
        <w:t xml:space="preserve"> będzie liczony jako</w:t>
      </w:r>
      <w:r w:rsidR="008718BB">
        <w:rPr>
          <w:rFonts w:ascii="Arial" w:hAnsi="Arial" w:cs="Arial"/>
          <w:sz w:val="20"/>
          <w:szCs w:val="20"/>
        </w:rPr>
        <w:t xml:space="preserve"> liczba stron, wersów czy sekund.</w:t>
      </w:r>
    </w:p>
    <w:p w14:paraId="7F258D07" w14:textId="4E7E5CD4" w:rsidR="00F85DE6" w:rsidRDefault="00F85DE6" w:rsidP="007007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Zadanie </w:t>
      </w:r>
      <w:r w:rsidR="000E3CB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(p</w:t>
      </w:r>
      <w:r w:rsidR="007007BB" w:rsidRPr="00197A00">
        <w:rPr>
          <w:rFonts w:ascii="Arial" w:hAnsi="Arial" w:cs="Arial"/>
          <w:b/>
          <w:sz w:val="20"/>
          <w:szCs w:val="20"/>
        </w:rPr>
        <w:t>ozostałe wydatki</w:t>
      </w:r>
      <w:r>
        <w:rPr>
          <w:rFonts w:ascii="Arial" w:hAnsi="Arial" w:cs="Arial"/>
          <w:b/>
          <w:sz w:val="20"/>
          <w:szCs w:val="20"/>
        </w:rPr>
        <w:t>)</w:t>
      </w:r>
    </w:p>
    <w:p w14:paraId="3A1BF6EF" w14:textId="60BC0B3A" w:rsidR="007007BB" w:rsidRPr="00197A00" w:rsidRDefault="00F85DE6" w:rsidP="007007BB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B66FA">
        <w:rPr>
          <w:rFonts w:ascii="Arial" w:hAnsi="Arial" w:cs="Arial"/>
          <w:sz w:val="20"/>
          <w:szCs w:val="20"/>
        </w:rPr>
        <w:t xml:space="preserve">Wydatki </w:t>
      </w:r>
      <w:r w:rsidR="007007BB" w:rsidRPr="00FB66FA">
        <w:rPr>
          <w:rFonts w:ascii="Arial" w:hAnsi="Arial" w:cs="Arial"/>
          <w:sz w:val="20"/>
          <w:szCs w:val="20"/>
        </w:rPr>
        <w:t>wynikające bezpośrednio z realizowanych działań w ramach poszczególnych PO</w:t>
      </w:r>
      <w:r w:rsidRPr="00FB66FA">
        <w:rPr>
          <w:rFonts w:ascii="Arial" w:hAnsi="Arial" w:cs="Arial"/>
          <w:sz w:val="20"/>
          <w:szCs w:val="20"/>
        </w:rPr>
        <w:t xml:space="preserve"> (np. </w:t>
      </w:r>
      <w:r w:rsidR="0085642E" w:rsidRPr="00197A00">
        <w:rPr>
          <w:rFonts w:ascii="Arial" w:hAnsi="Arial" w:cs="Arial"/>
          <w:sz w:val="20"/>
          <w:szCs w:val="20"/>
        </w:rPr>
        <w:t xml:space="preserve">zapytanie ofertowe, </w:t>
      </w:r>
      <w:r w:rsidRPr="00FB66FA">
        <w:rPr>
          <w:rFonts w:ascii="Arial" w:hAnsi="Arial" w:cs="Arial"/>
          <w:sz w:val="20"/>
          <w:szCs w:val="20"/>
        </w:rPr>
        <w:t>postępowanie</w:t>
      </w:r>
      <w:r w:rsidRPr="00197A00">
        <w:rPr>
          <w:rFonts w:ascii="Arial" w:hAnsi="Arial" w:cs="Arial"/>
          <w:sz w:val="20"/>
          <w:szCs w:val="20"/>
        </w:rPr>
        <w:t xml:space="preserve"> o </w:t>
      </w:r>
      <w:r w:rsidRPr="00FB66FA">
        <w:rPr>
          <w:rFonts w:ascii="Arial" w:hAnsi="Arial" w:cs="Arial"/>
          <w:sz w:val="20"/>
          <w:szCs w:val="20"/>
        </w:rPr>
        <w:t xml:space="preserve">zamówienie </w:t>
      </w:r>
      <w:r w:rsidRPr="00197A00">
        <w:rPr>
          <w:rFonts w:ascii="Arial" w:hAnsi="Arial" w:cs="Arial"/>
          <w:sz w:val="20"/>
          <w:szCs w:val="20"/>
        </w:rPr>
        <w:t>publiczne</w:t>
      </w:r>
      <w:r w:rsidR="0085642E" w:rsidRPr="00197A00">
        <w:rPr>
          <w:rFonts w:ascii="Arial" w:hAnsi="Arial" w:cs="Arial"/>
          <w:sz w:val="20"/>
          <w:szCs w:val="20"/>
        </w:rPr>
        <w:t xml:space="preserve"> - </w:t>
      </w:r>
      <w:r w:rsidR="006D4019" w:rsidRPr="00197A00">
        <w:rPr>
          <w:rFonts w:ascii="Arial" w:hAnsi="Arial" w:cs="Arial"/>
          <w:sz w:val="20"/>
          <w:szCs w:val="20"/>
        </w:rPr>
        <w:t>związane</w:t>
      </w:r>
      <w:r w:rsidRPr="00FB66FA">
        <w:rPr>
          <w:rFonts w:ascii="Arial" w:hAnsi="Arial" w:cs="Arial"/>
          <w:sz w:val="20"/>
          <w:szCs w:val="20"/>
        </w:rPr>
        <w:t xml:space="preserve"> tylko </w:t>
      </w:r>
      <w:r w:rsidR="006D4019" w:rsidRPr="00197A00">
        <w:rPr>
          <w:rFonts w:ascii="Arial" w:hAnsi="Arial" w:cs="Arial"/>
          <w:sz w:val="20"/>
          <w:szCs w:val="20"/>
        </w:rPr>
        <w:t xml:space="preserve">z </w:t>
      </w:r>
      <w:r w:rsidRPr="00FB66FA">
        <w:rPr>
          <w:rFonts w:ascii="Arial" w:hAnsi="Arial" w:cs="Arial"/>
          <w:sz w:val="20"/>
          <w:szCs w:val="20"/>
        </w:rPr>
        <w:t>dan</w:t>
      </w:r>
      <w:r w:rsidR="006D4019" w:rsidRPr="00197A00">
        <w:rPr>
          <w:rFonts w:ascii="Arial" w:hAnsi="Arial" w:cs="Arial"/>
          <w:sz w:val="20"/>
          <w:szCs w:val="20"/>
        </w:rPr>
        <w:t>ym</w:t>
      </w:r>
      <w:r w:rsidRPr="00FB66FA">
        <w:rPr>
          <w:rFonts w:ascii="Arial" w:hAnsi="Arial" w:cs="Arial"/>
          <w:sz w:val="20"/>
          <w:szCs w:val="20"/>
        </w:rPr>
        <w:t xml:space="preserve"> PO)</w:t>
      </w:r>
      <w:r w:rsidR="007007BB" w:rsidRPr="00FB66FA">
        <w:rPr>
          <w:rFonts w:ascii="Arial" w:hAnsi="Arial" w:cs="Arial"/>
          <w:sz w:val="20"/>
          <w:szCs w:val="20"/>
        </w:rPr>
        <w:t xml:space="preserve">, </w:t>
      </w:r>
      <w:r w:rsidR="007007BB">
        <w:rPr>
          <w:rFonts w:ascii="Arial" w:hAnsi="Arial" w:cs="Arial"/>
          <w:sz w:val="20"/>
          <w:szCs w:val="20"/>
        </w:rPr>
        <w:t>dotyczące w szczególności: programowania, zarządzania, wdrażania, monitorowania, kontroli, audytu, certyfikacji i oceny oraz informacji i promocji, obejmujące m.in. wydatki dotyczące delegacji krajowych i zagranicznych, tłumaczeń, zakupu usług prawniczych oraz wydatki przeznaczone na finansowanie usług wykonania ekspertyz analiz i opinii, pokrywane są w całości z danego PO.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DDD1001" w14:textId="77777777" w:rsidR="003B3D38" w:rsidRDefault="003B3D38"/>
    <w:sectPr w:rsidR="003B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7D508" w14:textId="77777777" w:rsidR="00D15D26" w:rsidRDefault="00D15D26" w:rsidP="00F812AB">
      <w:pPr>
        <w:spacing w:after="0" w:line="240" w:lineRule="auto"/>
      </w:pPr>
      <w:r>
        <w:separator/>
      </w:r>
    </w:p>
  </w:endnote>
  <w:endnote w:type="continuationSeparator" w:id="0">
    <w:p w14:paraId="39945596" w14:textId="77777777" w:rsidR="00D15D26" w:rsidRDefault="00D15D26" w:rsidP="00F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F809" w14:textId="77777777" w:rsidR="00D15D26" w:rsidRDefault="00D15D26" w:rsidP="00F812AB">
      <w:pPr>
        <w:spacing w:after="0" w:line="240" w:lineRule="auto"/>
      </w:pPr>
      <w:r>
        <w:separator/>
      </w:r>
    </w:p>
  </w:footnote>
  <w:footnote w:type="continuationSeparator" w:id="0">
    <w:p w14:paraId="48ADEBC4" w14:textId="77777777" w:rsidR="00D15D26" w:rsidRDefault="00D15D26" w:rsidP="00F812AB">
      <w:pPr>
        <w:spacing w:after="0" w:line="240" w:lineRule="auto"/>
      </w:pPr>
      <w:r>
        <w:continuationSeparator/>
      </w:r>
    </w:p>
  </w:footnote>
  <w:footnote w:id="1">
    <w:p w14:paraId="4AAF0C3B" w14:textId="62029C36" w:rsidR="00F812AB" w:rsidRDefault="00F812AB">
      <w:pPr>
        <w:pStyle w:val="Tekstprzypisudolnego"/>
      </w:pPr>
      <w:r>
        <w:rPr>
          <w:rStyle w:val="Odwoanieprzypisudolnego"/>
        </w:rPr>
        <w:footnoteRef/>
      </w:r>
      <w:r>
        <w:t xml:space="preserve"> W Szczecinie, do czasu zakończenia remontu siedziby przy </w:t>
      </w:r>
      <w:r w:rsidRPr="00F812AB">
        <w:t>ul. Jagiellońskiej 32u/5</w:t>
      </w:r>
      <w:r>
        <w:t>, zadania</w:t>
      </w:r>
      <w:r w:rsidRPr="00F812AB">
        <w:t xml:space="preserve"> związan</w:t>
      </w:r>
      <w:r>
        <w:t>e</w:t>
      </w:r>
      <w:r w:rsidRPr="00F812AB">
        <w:t xml:space="preserve"> </w:t>
      </w:r>
      <w:r>
        <w:t>z realizacja RPO WZ 2014-</w:t>
      </w:r>
      <w:r w:rsidRPr="00F812AB">
        <w:t>2020</w:t>
      </w:r>
      <w:r>
        <w:t xml:space="preserve"> wykonywane są w </w:t>
      </w:r>
      <w:r w:rsidR="007A7A3F">
        <w:t>biurze</w:t>
      </w:r>
      <w:r>
        <w:t xml:space="preserve"> przy ul. Solskiego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A71"/>
    <w:multiLevelType w:val="hybridMultilevel"/>
    <w:tmpl w:val="7B26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90487"/>
    <w:multiLevelType w:val="hybridMultilevel"/>
    <w:tmpl w:val="0310E300"/>
    <w:lvl w:ilvl="0" w:tplc="633C6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riusz Kielek">
    <w15:presenceInfo w15:providerId="None" w15:userId="Dariusz Kiel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FA"/>
    <w:rsid w:val="00056C6D"/>
    <w:rsid w:val="00073FF8"/>
    <w:rsid w:val="000D73E7"/>
    <w:rsid w:val="000E3CBB"/>
    <w:rsid w:val="00150DD2"/>
    <w:rsid w:val="00151DDF"/>
    <w:rsid w:val="0016103A"/>
    <w:rsid w:val="00197A00"/>
    <w:rsid w:val="001C7686"/>
    <w:rsid w:val="001F4B45"/>
    <w:rsid w:val="002472E7"/>
    <w:rsid w:val="00254405"/>
    <w:rsid w:val="002F5F10"/>
    <w:rsid w:val="002F76E4"/>
    <w:rsid w:val="003531FC"/>
    <w:rsid w:val="00376653"/>
    <w:rsid w:val="003B3D38"/>
    <w:rsid w:val="003D139C"/>
    <w:rsid w:val="003F6BFC"/>
    <w:rsid w:val="0040112B"/>
    <w:rsid w:val="0047558D"/>
    <w:rsid w:val="004760A6"/>
    <w:rsid w:val="00533B51"/>
    <w:rsid w:val="005546C0"/>
    <w:rsid w:val="005D035C"/>
    <w:rsid w:val="005E7BCA"/>
    <w:rsid w:val="0061194A"/>
    <w:rsid w:val="00616922"/>
    <w:rsid w:val="00637AB2"/>
    <w:rsid w:val="00666212"/>
    <w:rsid w:val="006D4019"/>
    <w:rsid w:val="006D470B"/>
    <w:rsid w:val="007007BB"/>
    <w:rsid w:val="00727823"/>
    <w:rsid w:val="007A7A3F"/>
    <w:rsid w:val="00804B5E"/>
    <w:rsid w:val="008241A8"/>
    <w:rsid w:val="00826933"/>
    <w:rsid w:val="00843E25"/>
    <w:rsid w:val="0085642E"/>
    <w:rsid w:val="008718BB"/>
    <w:rsid w:val="00922E23"/>
    <w:rsid w:val="009324CE"/>
    <w:rsid w:val="009843FA"/>
    <w:rsid w:val="009978A3"/>
    <w:rsid w:val="009C7833"/>
    <w:rsid w:val="00A2478C"/>
    <w:rsid w:val="00A41B3D"/>
    <w:rsid w:val="00A43AFA"/>
    <w:rsid w:val="00A55DBA"/>
    <w:rsid w:val="00A66B6A"/>
    <w:rsid w:val="00AE7FEB"/>
    <w:rsid w:val="00B325C3"/>
    <w:rsid w:val="00B722A4"/>
    <w:rsid w:val="00B752A6"/>
    <w:rsid w:val="00BD75AF"/>
    <w:rsid w:val="00BE2C04"/>
    <w:rsid w:val="00BF2775"/>
    <w:rsid w:val="00C36F30"/>
    <w:rsid w:val="00C72DA3"/>
    <w:rsid w:val="00CB75B7"/>
    <w:rsid w:val="00CF4DCB"/>
    <w:rsid w:val="00D15D26"/>
    <w:rsid w:val="00E00A37"/>
    <w:rsid w:val="00E06534"/>
    <w:rsid w:val="00E5067F"/>
    <w:rsid w:val="00E80BA5"/>
    <w:rsid w:val="00E907CB"/>
    <w:rsid w:val="00ED02E2"/>
    <w:rsid w:val="00ED06EF"/>
    <w:rsid w:val="00ED73C8"/>
    <w:rsid w:val="00ED773F"/>
    <w:rsid w:val="00F001F2"/>
    <w:rsid w:val="00F02292"/>
    <w:rsid w:val="00F11D12"/>
    <w:rsid w:val="00F31FF8"/>
    <w:rsid w:val="00F566C5"/>
    <w:rsid w:val="00F812AB"/>
    <w:rsid w:val="00F85DE6"/>
    <w:rsid w:val="00FB66FA"/>
    <w:rsid w:val="00FB7BB6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C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7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2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2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2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7B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2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2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2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92895-13BD-4522-AB08-6BD74865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2139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KJ. Jacewicz</dc:creator>
  <cp:lastModifiedBy>Anna Fleming</cp:lastModifiedBy>
  <cp:revision>2</cp:revision>
  <cp:lastPrinted>2016-07-11T06:51:00Z</cp:lastPrinted>
  <dcterms:created xsi:type="dcterms:W3CDTF">2016-07-11T06:51:00Z</dcterms:created>
  <dcterms:modified xsi:type="dcterms:W3CDTF">2016-07-11T06:51:00Z</dcterms:modified>
</cp:coreProperties>
</file>