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056ABF" w:rsidRDefault="00D73B6E" w:rsidP="00056ABF">
      <w:pPr>
        <w:jc w:val="both"/>
        <w:rPr>
          <w:rFonts w:ascii="Arial" w:eastAsiaTheme="minorHAnsi" w:hAnsi="Arial" w:cs="Arial"/>
          <w:lang w:eastAsia="en-US"/>
        </w:rPr>
      </w:pPr>
      <w:r w:rsidRPr="00D73B6E">
        <w:rPr>
          <w:rFonts w:ascii="Arial" w:hAnsi="Arial" w:cs="Arial"/>
          <w:sz w:val="20"/>
          <w:szCs w:val="20"/>
        </w:rPr>
        <w:t xml:space="preserve">Świadczenie </w:t>
      </w:r>
      <w:r w:rsidR="00557F0A" w:rsidRPr="00557F0A">
        <w:rPr>
          <w:rFonts w:ascii="Arial" w:hAnsi="Arial" w:cs="Arial"/>
          <w:sz w:val="20"/>
          <w:szCs w:val="20"/>
        </w:rPr>
        <w:t>usług szkoleniowych, hotelarskich, konferencyjnych i restauracyjnych na potrzeby przeprowadzenia szkoleń podnoszących kompetencje kadr świadczących usługi społeczne w</w:t>
      </w:r>
      <w:r w:rsidR="00557F0A">
        <w:rPr>
          <w:rFonts w:ascii="Arial" w:hAnsi="Arial" w:cs="Arial"/>
          <w:sz w:val="20"/>
          <w:szCs w:val="20"/>
        </w:rPr>
        <w:t> </w:t>
      </w:r>
      <w:r w:rsidR="00557F0A" w:rsidRPr="00557F0A">
        <w:rPr>
          <w:rFonts w:ascii="Arial" w:hAnsi="Arial" w:cs="Arial"/>
          <w:sz w:val="20"/>
          <w:szCs w:val="20"/>
        </w:rPr>
        <w:t>środowisku lokalnym na terenie województwa zachodniopomorskiego</w:t>
      </w:r>
    </w:p>
    <w:p w:rsidR="00D73B6E" w:rsidRPr="00D86F9D" w:rsidRDefault="00D73B6E" w:rsidP="00056ABF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Przedmiot zamówienia składa się z </w:t>
      </w:r>
      <w:r w:rsidR="00557F0A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ośmiu</w:t>
      </w:r>
      <w:r w:rsidR="007B5946"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części</w:t>
      </w:r>
      <w:r w:rsid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(</w:t>
      </w:r>
      <w:r w:rsidR="007B5946"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szkoleń)</w:t>
      </w:r>
      <w:r w:rsidR="00557F0A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: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>1) Szkolenie stacjonarne trzydniowe z tematyki profesjonalnego wolontariatu w pomocy społecznej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>2) Szkolenie stacjonarne dwudniowe z tematyki animacji lokalnej  - metodyka angażowania społeczności i strategie przeciwdziałania wykluczeniu społecznemu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 xml:space="preserve">3) Szkolenie stacjonarne dwudniowe z tematyki komunikacji wspierającej w usługach społecznych  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>4) 10 jednakowych merytorycznie dwudniowych szkoleń stacjonarnych z tematyki podstawowej opieki nad osobą z chorobą otępienną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>5) Szkolenie online dwudniowe z tematyki współpracy z klientem innej narodowości,  wspierania integracji i skutecznej komunikacji międzykulturowej w pracy kadry pomocy społecznej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 xml:space="preserve">6) </w:t>
      </w:r>
      <w:r>
        <w:rPr>
          <w:rFonts w:ascii="Arial" w:eastAsiaTheme="minorHAnsi" w:hAnsi="Arial" w:cs="Arial"/>
          <w:sz w:val="20"/>
          <w:szCs w:val="20"/>
          <w:lang w:eastAsia="en-US"/>
        </w:rPr>
        <w:t>3</w:t>
      </w:r>
      <w:r w:rsidRPr="00557F0A">
        <w:rPr>
          <w:rFonts w:ascii="Arial" w:eastAsiaTheme="minorHAnsi" w:hAnsi="Arial" w:cs="Arial"/>
          <w:sz w:val="20"/>
          <w:szCs w:val="20"/>
          <w:lang w:eastAsia="en-US"/>
        </w:rPr>
        <w:t xml:space="preserve"> jednakowe merytorycznie jednodniowe szkolenia online z tematyki wykorzystania AI w pracy instytucji pomocy społecznej</w:t>
      </w:r>
    </w:p>
    <w:p w:rsidR="00557F0A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>7) Szkolenie online jednodniowe z tematyki opracowywania i wdrażania standardów ochrony małoletnich</w:t>
      </w:r>
    </w:p>
    <w:p w:rsidR="00056ABF" w:rsidRPr="00557F0A" w:rsidRDefault="00557F0A" w:rsidP="00557F0A">
      <w:pPr>
        <w:spacing w:after="120"/>
        <w:ind w:left="357"/>
        <w:rPr>
          <w:rFonts w:ascii="Arial" w:eastAsiaTheme="minorHAnsi" w:hAnsi="Arial" w:cs="Arial"/>
          <w:sz w:val="20"/>
          <w:szCs w:val="20"/>
          <w:lang w:eastAsia="en-US"/>
        </w:rPr>
      </w:pPr>
      <w:r w:rsidRPr="00557F0A">
        <w:rPr>
          <w:rFonts w:ascii="Arial" w:eastAsiaTheme="minorHAnsi" w:hAnsi="Arial" w:cs="Arial"/>
          <w:sz w:val="20"/>
          <w:szCs w:val="20"/>
          <w:lang w:eastAsia="en-US"/>
        </w:rPr>
        <w:t xml:space="preserve">8) Szkolenie online jednodniowe z tematyki nowoczesnych narzędzia polityki senioralnej ma poziomie lokalnym. </w:t>
      </w:r>
    </w:p>
    <w:p w:rsidR="008D0662" w:rsidRPr="00EF23B0" w:rsidRDefault="00981C8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557F0A">
        <w:rPr>
          <w:rStyle w:val="Odwoanieprzypisudolnego"/>
          <w:rFonts w:ascii="Arial" w:hAnsi="Arial"/>
          <w:sz w:val="20"/>
          <w:szCs w:val="20"/>
        </w:rPr>
        <w:footnoteReference w:id="1"/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D73B6E" w:rsidRPr="00D73B6E" w:rsidRDefault="00D73B6E" w:rsidP="00D73B6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1417"/>
        <w:gridCol w:w="1701"/>
        <w:gridCol w:w="2268"/>
      </w:tblGrid>
      <w:tr w:rsidR="007B5946" w:rsidRPr="0046587B" w:rsidTr="00557F0A">
        <w:trPr>
          <w:trHeight w:val="1498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7B5946" w:rsidRPr="00560012" w:rsidRDefault="009845ED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</w:t>
            </w:r>
            <w:r w:rsidR="007B5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zamówienia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 w:rsidR="00D74F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uczestnictwo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  <w:t xml:space="preserve">1 osoby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szkoleniu </w:t>
            </w:r>
            <w:r w:rsidR="00557F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zł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:rsidR="007B5946" w:rsidRPr="00560012" w:rsidRDefault="007B5946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liczba osób uczestniczących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 szkoleni</w:t>
            </w:r>
            <w:r w:rsidR="00557F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B5946" w:rsidRPr="00557F0A" w:rsidRDefault="007B5946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za szkolenie </w:t>
            </w:r>
            <w:r w:rsidR="00557F0A">
              <w:rPr>
                <w:rFonts w:ascii="Arial" w:eastAsia="Times New Roman" w:hAnsi="Arial"/>
                <w:b/>
                <w:bCs/>
                <w:sz w:val="18"/>
                <w:szCs w:val="18"/>
              </w:rPr>
              <w:t>w zł</w:t>
            </w:r>
          </w:p>
          <w:p w:rsidR="007B5946" w:rsidRPr="00C95DB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>(w tym podatek VAT: zwolni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enie</w:t>
            </w:r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na podstawie art. 43 ust.1 pkt 29 </w:t>
            </w:r>
            <w:proofErr w:type="spellStart"/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C95DB6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7B5946" w:rsidRPr="009441E4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(3x4)</w:t>
            </w:r>
          </w:p>
        </w:tc>
      </w:tr>
      <w:tr w:rsidR="007B5946" w:rsidRPr="0046587B" w:rsidTr="00557F0A">
        <w:trPr>
          <w:trHeight w:val="7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</w:t>
            </w:r>
          </w:p>
        </w:tc>
      </w:tr>
      <w:tr w:rsidR="00557F0A" w:rsidRPr="0046587B" w:rsidTr="00557F0A">
        <w:trPr>
          <w:trHeight w:hRule="exact" w:val="439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Szkolenie stacjonarne trzydniowe z tematyki profesjonalnego wolontariatu w pomocy społecznej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Szkolenie stacjonarne dwudniowe z tematyki animacji lokalnej  - metodyka angażowania społeczności i strategie przeciwdziałania wykluczeniu społecznemu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441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Szkolenie stacjonarne dwudniowe z tematyki komunikacji wspierającej w usługach społecznych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10 jednakowych merytorycznie dwudniowych szkoleń stacjonarnych z tematyki podstawowej opieki nad osobą z chorobą otępienną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762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Szkolenie online dwudniowe z tematyki współpracy z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 </w:t>
            </w: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klientem innej narodowości,  wspierania integracji i</w:t>
            </w: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 </w:t>
            </w: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skutecznej komunikacji międzykulturowej w pracy kadry pomocy społecznej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3</w:t>
            </w: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jednakowe merytorycznie jednodniowe szkolenia online z tematyki wykorzystania AI w pracy instytucji pomocy społecznej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Szkolenie online jednodniowe z tematyki opracowywania i wdrażania standardów ochrony małoletnich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557F0A">
        <w:trPr>
          <w:trHeight w:hRule="exact" w:val="56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248" w:type="dxa"/>
          </w:tcPr>
          <w:p w:rsidR="00557F0A" w:rsidRPr="00557F0A" w:rsidRDefault="00557F0A" w:rsidP="00557F0A">
            <w:pPr>
              <w:spacing w:after="24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557F0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Szkolenie online jednodniowe z tematyki nowoczesnych narzędzia polityki senioralnej ma poziomie lokalnym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BD5993" w:rsidRDefault="00BD5993" w:rsidP="00BD5993">
      <w:pPr>
        <w:spacing w:after="0" w:line="240" w:lineRule="auto"/>
        <w:jc w:val="both"/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</w:pPr>
    </w:p>
    <w:p w:rsidR="00BD5993" w:rsidRDefault="00BD5993" w:rsidP="00BD5993">
      <w:pPr>
        <w:spacing w:after="0" w:line="240" w:lineRule="auto"/>
        <w:jc w:val="both"/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</w:pPr>
    </w:p>
    <w:p w:rsidR="00BD5993" w:rsidRPr="00BD5993" w:rsidRDefault="00BD5993" w:rsidP="00BD5993">
      <w:pPr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BD5993"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  <w:t>Pozyskane od Państwa informacje mają na celu wyłącznie rozpoznanie rynku i uzyskanie wiedzy na temat możliwej wartości przedmiotu zamówienia.</w:t>
      </w:r>
    </w:p>
    <w:p w:rsidR="006A353E" w:rsidRPr="00EF23B0" w:rsidRDefault="006A353E" w:rsidP="00EF23B0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030DC" w:rsidRPr="00EF23B0" w:rsidRDefault="00D93CB9" w:rsidP="00F57326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sectPr w:rsidR="001030DC" w:rsidRPr="00EF23B0" w:rsidSect="00AD392C">
      <w:footerReference w:type="default" r:id="rId8"/>
      <w:headerReference w:type="first" r:id="rId9"/>
      <w:footerReference w:type="first" r:id="rId10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  <w:footnote w:id="1">
    <w:p w:rsidR="00557F0A" w:rsidRDefault="00557F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94DD2" w:rsidRPr="00894DD2">
        <w:t xml:space="preserve">Oferent wypełnia wyłącznie wiersze tabeli odnoszące się do szkoleń objętych </w:t>
      </w:r>
      <w:r w:rsidR="00894DD2">
        <w:t xml:space="preserve">jego </w:t>
      </w:r>
      <w:r w:rsidR="00894DD2" w:rsidRPr="00894DD2">
        <w:t>przedmiotową wyceną. Pozostałe pozycje nie wymagają uzupełnienia. Oferent nie jest zobowiązany do dokonania wyceny wszystkich szkoleń tematycznych będących częścią postępowania.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184DE9" w:rsidRDefault="00F57326" w:rsidP="00F57326">
    <w:pPr>
      <w:tabs>
        <w:tab w:val="left" w:pos="2442"/>
        <w:tab w:val="left" w:pos="3267"/>
      </w:tabs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313CC362">
          <wp:extent cx="4895215" cy="49974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EA41058"/>
    <w:multiLevelType w:val="hybridMultilevel"/>
    <w:tmpl w:val="7C82E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20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15"/>
  </w:num>
  <w:num w:numId="2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ABF"/>
    <w:rsid w:val="00060EF1"/>
    <w:rsid w:val="00061FD4"/>
    <w:rsid w:val="000651A9"/>
    <w:rsid w:val="000657AA"/>
    <w:rsid w:val="000676E4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53C2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3F5239"/>
    <w:rsid w:val="00402805"/>
    <w:rsid w:val="00406AB4"/>
    <w:rsid w:val="004121A6"/>
    <w:rsid w:val="00413E95"/>
    <w:rsid w:val="0041593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57F0A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8514F"/>
    <w:rsid w:val="00790B39"/>
    <w:rsid w:val="007910AD"/>
    <w:rsid w:val="007917FA"/>
    <w:rsid w:val="007A35D5"/>
    <w:rsid w:val="007B12B3"/>
    <w:rsid w:val="007B5946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94DD2"/>
    <w:rsid w:val="008A1484"/>
    <w:rsid w:val="008A15EC"/>
    <w:rsid w:val="008A27C3"/>
    <w:rsid w:val="008B3942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97C"/>
    <w:rsid w:val="00981C87"/>
    <w:rsid w:val="009823EA"/>
    <w:rsid w:val="009845C6"/>
    <w:rsid w:val="009845ED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96FB1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5993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3457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5DB6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3B6E"/>
    <w:rsid w:val="00D74F21"/>
    <w:rsid w:val="00D75A57"/>
    <w:rsid w:val="00D808C0"/>
    <w:rsid w:val="00D8329C"/>
    <w:rsid w:val="00D86F9D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23B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57326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18F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C75DFE0"/>
  <w15:docId w15:val="{8483D0A2-C3DE-4F83-9C93-538AD3A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84F5-5058-4095-9980-B8EAA366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Marta Szczucka</cp:lastModifiedBy>
  <cp:revision>2</cp:revision>
  <cp:lastPrinted>2021-12-21T13:44:00Z</cp:lastPrinted>
  <dcterms:created xsi:type="dcterms:W3CDTF">2026-04-28T13:02:00Z</dcterms:created>
  <dcterms:modified xsi:type="dcterms:W3CDTF">2026-04-28T13:02:00Z</dcterms:modified>
</cp:coreProperties>
</file>