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E2" w:rsidRPr="000A26C7" w:rsidRDefault="001C7A61" w:rsidP="0001677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EE02F20" wp14:editId="4E30FC42">
            <wp:extent cx="5305425" cy="600075"/>
            <wp:effectExtent l="0" t="0" r="9525" b="9525"/>
            <wp:docPr id="3" name="Obraz 3" descr="Opis: C:\Users\mnowaczyk\Desktop\Promocja\ciąg logotypów_NSS-UE-FStru_RPO-WZ_14-20_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pis: C:\Users\mnowaczyk\Desktop\Promocja\ciąg logotypów_NSS-UE-FStru_RPO-WZ_14-20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59A8" w:rsidRDefault="00EC59A8" w:rsidP="00EC59A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F037A0" w:rsidRPr="000A26C7" w:rsidRDefault="00F037A0" w:rsidP="00EC59A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53034" w:rsidRPr="00576770" w:rsidRDefault="00B4564C" w:rsidP="00D25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1C517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C51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/16-0</w:t>
      </w:r>
      <w:r w:rsidR="00C82FF2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753034" w:rsidRPr="00576770" w:rsidRDefault="00855FAD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="00576770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1C517E" w:rsidRPr="001C517E">
        <w:rPr>
          <w:rFonts w:ascii="Times New Roman" w:hAnsi="Times New Roman" w:cs="Times New Roman"/>
          <w:b/>
          <w:bCs/>
          <w:sz w:val="20"/>
          <w:szCs w:val="20"/>
        </w:rPr>
        <w:t>Przebudowa drogi wojewódzkiej nr 203 na odcinku Dąbki - Darłowo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C51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342482" w:rsidRDefault="00342482" w:rsidP="00EC59A8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42482" w:rsidRDefault="00342482" w:rsidP="00B4564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037A0" w:rsidRDefault="00F037A0" w:rsidP="00B4564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C59A8" w:rsidRPr="00B4564C" w:rsidRDefault="00EC59A8" w:rsidP="00B4564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4148C7" w:rsidP="00D25B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 xml:space="preserve">Decyzją zmieniającą”, podjęta w Szczecinie w dniu </w:t>
      </w:r>
      <w:r w:rsidR="00C82FF2">
        <w:rPr>
          <w:rFonts w:ascii="Times New Roman" w:eastAsia="Times New Roman" w:hAnsi="Times New Roman" w:cs="Times New Roman"/>
          <w:sz w:val="20"/>
          <w:szCs w:val="20"/>
        </w:rPr>
        <w:t>……………………….</w:t>
      </w:r>
      <w:r w:rsidR="00F927BF">
        <w:rPr>
          <w:rFonts w:ascii="Times New Roman" w:eastAsia="Times New Roman" w:hAnsi="Times New Roman" w:cs="Times New Roman"/>
          <w:sz w:val="20"/>
          <w:szCs w:val="20"/>
        </w:rPr>
        <w:t xml:space="preserve"> r. 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F927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2FF2">
        <w:rPr>
          <w:rFonts w:ascii="Times New Roman" w:eastAsia="Times New Roman" w:hAnsi="Times New Roman" w:cs="Times New Roman"/>
          <w:sz w:val="20"/>
          <w:szCs w:val="20"/>
        </w:rPr>
        <w:t>………………</w:t>
      </w:r>
    </w:p>
    <w:p w:rsidR="000E772E" w:rsidRDefault="000E772E" w:rsidP="00D52E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D52E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37A0" w:rsidRDefault="00F037A0" w:rsidP="00D25BC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Default="00CD3D0E" w:rsidP="00D25BC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F037A0" w:rsidRPr="000A26C7" w:rsidRDefault="00F037A0" w:rsidP="00D25BC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26C7" w:rsidRDefault="000A26C7" w:rsidP="00D25BC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037A0" w:rsidRDefault="00F037A0" w:rsidP="00D25BC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161DA" w:rsidRDefault="003161DA" w:rsidP="00F037A0">
      <w:pPr>
        <w:pStyle w:val="Akapitzlist"/>
        <w:numPr>
          <w:ilvl w:val="0"/>
          <w:numId w:val="29"/>
        </w:numPr>
        <w:ind w:left="782" w:hanging="35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§ 1 pkt 1 otrzymuje brzmienie: </w:t>
      </w:r>
    </w:p>
    <w:p w:rsidR="00F037A0" w:rsidRDefault="00F037A0" w:rsidP="00F037A0">
      <w:pPr>
        <w:pStyle w:val="Akapitzlist"/>
        <w:ind w:left="782"/>
        <w:jc w:val="both"/>
        <w:rPr>
          <w:rFonts w:ascii="Times New Roman" w:hAnsi="Times New Roman"/>
          <w:bCs/>
          <w:sz w:val="20"/>
          <w:szCs w:val="20"/>
        </w:rPr>
      </w:pPr>
    </w:p>
    <w:p w:rsidR="003161DA" w:rsidRDefault="003161DA" w:rsidP="00F037A0">
      <w:pPr>
        <w:pStyle w:val="Akapitzlist"/>
        <w:spacing w:before="240"/>
        <w:ind w:left="78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„Beneficjencie” – należy przez to rozumieć podmiot, o którym mowa w art. 2 pkt 10 rozporządzenia ogólnego, </w:t>
      </w:r>
      <w:proofErr w:type="spellStart"/>
      <w:r>
        <w:rPr>
          <w:rFonts w:ascii="Times New Roman" w:hAnsi="Times New Roman"/>
          <w:bCs/>
          <w:sz w:val="20"/>
          <w:szCs w:val="20"/>
        </w:rPr>
        <w:t>tj.Województwo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Zachodniopomorskie; </w:t>
      </w:r>
    </w:p>
    <w:p w:rsidR="003161DA" w:rsidRDefault="003161DA" w:rsidP="003161DA">
      <w:pPr>
        <w:pStyle w:val="Akapitzlist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C82FF2" w:rsidRDefault="00C82FF2" w:rsidP="00C82FF2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ust.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</w:t>
      </w:r>
    </w:p>
    <w:p w:rsidR="00F037A0" w:rsidRPr="0020780E" w:rsidRDefault="00F037A0" w:rsidP="00F037A0">
      <w:pPr>
        <w:pStyle w:val="Akapitzlist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C82FF2" w:rsidRDefault="00C82FF2" w:rsidP="00C82FF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Całkowite wydatki Projektu wynoszą </w:t>
      </w:r>
      <w:r>
        <w:rPr>
          <w:rFonts w:ascii="Times New Roman" w:hAnsi="Times New Roman"/>
          <w:bCs/>
          <w:sz w:val="20"/>
          <w:szCs w:val="20"/>
        </w:rPr>
        <w:t>43 713 729,40 zł (słownie: czterdzieści trzy miliony siedemset trzynaście tysięcy siedemset dwadzieścia dziewięć 40</w:t>
      </w:r>
      <w:r w:rsidRPr="0020780E">
        <w:rPr>
          <w:rFonts w:ascii="Times New Roman" w:hAnsi="Times New Roman"/>
          <w:bCs/>
          <w:sz w:val="20"/>
          <w:szCs w:val="20"/>
        </w:rPr>
        <w:t>/100 złotych).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C82FF2" w:rsidRPr="0020780E" w:rsidRDefault="00C82FF2" w:rsidP="00C82FF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</w:p>
    <w:p w:rsidR="00C82FF2" w:rsidRDefault="00C82FF2" w:rsidP="00C82FF2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>
        <w:rPr>
          <w:rFonts w:ascii="Times New Roman" w:hAnsi="Times New Roman"/>
          <w:bCs/>
          <w:sz w:val="20"/>
          <w:szCs w:val="20"/>
        </w:rPr>
        <w:t>3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F037A0" w:rsidRPr="0020780E" w:rsidRDefault="00F037A0" w:rsidP="00F037A0">
      <w:pPr>
        <w:pStyle w:val="Akapitzlist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C82FF2" w:rsidRPr="0020780E" w:rsidRDefault="00C82FF2" w:rsidP="00C82FF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>Całkowite wydatki kwalifikowalne P</w:t>
      </w:r>
      <w:r>
        <w:rPr>
          <w:rFonts w:ascii="Times New Roman" w:hAnsi="Times New Roman"/>
          <w:bCs/>
          <w:sz w:val="20"/>
          <w:szCs w:val="20"/>
        </w:rPr>
        <w:t>rojektu wynoszą nie więcej niż 37 590 996,90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>
        <w:rPr>
          <w:rFonts w:ascii="Times New Roman" w:hAnsi="Times New Roman"/>
          <w:bCs/>
          <w:sz w:val="20"/>
          <w:szCs w:val="20"/>
        </w:rPr>
        <w:t>trzydzieści siedem milionów pięćset dziewięćdziesiąt tysięcy dziewięćset dziewięćdziesiąt sześć 90</w:t>
      </w:r>
      <w:r w:rsidRPr="0020780E">
        <w:rPr>
          <w:rFonts w:ascii="Times New Roman" w:hAnsi="Times New Roman"/>
          <w:bCs/>
          <w:sz w:val="20"/>
          <w:szCs w:val="20"/>
        </w:rPr>
        <w:t>/100 złotych), w tym:</w:t>
      </w:r>
    </w:p>
    <w:p w:rsidR="00C82FF2" w:rsidRDefault="00C82FF2" w:rsidP="00C82FF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kwalifikowalne objęte pomocą publiczną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</w:t>
      </w:r>
    </w:p>
    <w:p w:rsidR="00C82FF2" w:rsidRDefault="00C82FF2" w:rsidP="00C82FF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kwalifikowalne w ramach finansowania krzyżowego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C82FF2" w:rsidRDefault="00C82FF2" w:rsidP="00C82FF2">
      <w:pPr>
        <w:pStyle w:val="Akapitzlist"/>
        <w:spacing w:after="0" w:line="240" w:lineRule="auto"/>
        <w:ind w:left="1146"/>
        <w:jc w:val="both"/>
        <w:rPr>
          <w:rFonts w:ascii="Times New Roman" w:hAnsi="Times New Roman"/>
          <w:bCs/>
          <w:sz w:val="20"/>
          <w:szCs w:val="20"/>
        </w:rPr>
      </w:pPr>
    </w:p>
    <w:p w:rsidR="00F037A0" w:rsidRPr="0020780E" w:rsidRDefault="00F037A0" w:rsidP="00C82FF2">
      <w:pPr>
        <w:pStyle w:val="Akapitzlist"/>
        <w:spacing w:after="0" w:line="240" w:lineRule="auto"/>
        <w:ind w:left="1146"/>
        <w:jc w:val="both"/>
        <w:rPr>
          <w:rFonts w:ascii="Times New Roman" w:hAnsi="Times New Roman"/>
          <w:bCs/>
          <w:sz w:val="20"/>
          <w:szCs w:val="20"/>
        </w:rPr>
      </w:pPr>
    </w:p>
    <w:p w:rsidR="00C82FF2" w:rsidRDefault="00C82FF2" w:rsidP="00C82FF2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>
        <w:rPr>
          <w:rFonts w:ascii="Times New Roman" w:hAnsi="Times New Roman"/>
          <w:bCs/>
          <w:sz w:val="20"/>
          <w:szCs w:val="20"/>
        </w:rPr>
        <w:t>4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F037A0" w:rsidRPr="0020780E" w:rsidRDefault="00F037A0" w:rsidP="00F037A0">
      <w:pPr>
        <w:pStyle w:val="Akapitzlist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C82FF2" w:rsidRDefault="00C82FF2" w:rsidP="00C82FF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Beneficjent po spełnieniu warunków określonych w Decyzji otrzyma dofinansowanie do kwoty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>37 590 996,90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>
        <w:rPr>
          <w:rFonts w:ascii="Times New Roman" w:hAnsi="Times New Roman"/>
          <w:bCs/>
          <w:sz w:val="20"/>
          <w:szCs w:val="20"/>
        </w:rPr>
        <w:t>trzydzieści siedem milionów pięćset dziewięćdziesiąt tysięcy dziewięćset dziewięćdziesiąt sześć 90</w:t>
      </w:r>
      <w:r w:rsidRPr="0020780E">
        <w:rPr>
          <w:rFonts w:ascii="Times New Roman" w:hAnsi="Times New Roman"/>
          <w:bCs/>
          <w:sz w:val="20"/>
          <w:szCs w:val="20"/>
        </w:rPr>
        <w:t>/100 złotych)</w:t>
      </w:r>
      <w:r>
        <w:rPr>
          <w:rFonts w:ascii="Times New Roman" w:hAnsi="Times New Roman"/>
          <w:bCs/>
          <w:sz w:val="20"/>
          <w:szCs w:val="20"/>
        </w:rPr>
        <w:t xml:space="preserve">,  </w:t>
      </w:r>
      <w:r w:rsidRPr="0020780E">
        <w:rPr>
          <w:rFonts w:ascii="Times New Roman" w:hAnsi="Times New Roman"/>
          <w:bCs/>
          <w:sz w:val="20"/>
          <w:szCs w:val="20"/>
        </w:rPr>
        <w:t>stanowiącej nie więcej niż 100% całkowitych wydatków kwalifikowalnych Projektu:</w:t>
      </w:r>
    </w:p>
    <w:p w:rsidR="00F037A0" w:rsidRDefault="00F037A0" w:rsidP="00C82FF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C82FF2" w:rsidRPr="0020780E" w:rsidRDefault="00C82FF2" w:rsidP="00C82FF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C82FF2" w:rsidRDefault="00C82FF2" w:rsidP="00C82FF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EFRR do kwoty </w:t>
      </w:r>
      <w:r>
        <w:rPr>
          <w:rFonts w:ascii="Times New Roman" w:hAnsi="Times New Roman"/>
          <w:bCs/>
          <w:sz w:val="20"/>
          <w:szCs w:val="20"/>
        </w:rPr>
        <w:t>37 590 996,90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>
        <w:rPr>
          <w:rFonts w:ascii="Times New Roman" w:hAnsi="Times New Roman"/>
          <w:bCs/>
          <w:sz w:val="20"/>
          <w:szCs w:val="20"/>
        </w:rPr>
        <w:t>trzydzieści siedem milionów pięćset dziewięćdziesiąt tysięcy dziewięćset dziewięćdziesiąt sześć 90</w:t>
      </w:r>
      <w:r w:rsidRPr="0020780E">
        <w:rPr>
          <w:rFonts w:ascii="Times New Roman" w:hAnsi="Times New Roman"/>
          <w:bCs/>
          <w:sz w:val="20"/>
          <w:szCs w:val="20"/>
        </w:rPr>
        <w:t>/100 złotych)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20780E">
        <w:rPr>
          <w:rFonts w:ascii="Times New Roman" w:hAnsi="Times New Roman"/>
          <w:bCs/>
          <w:sz w:val="20"/>
          <w:szCs w:val="20"/>
        </w:rPr>
        <w:t>stanowiącej nie więcej niż 100% dofinansowania Projektu,</w:t>
      </w:r>
    </w:p>
    <w:p w:rsidR="00C82FF2" w:rsidRDefault="00C82FF2" w:rsidP="00C82FF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BP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dofinansowania Projektu,</w:t>
      </w:r>
    </w:p>
    <w:p w:rsidR="00F037A0" w:rsidRDefault="00F037A0" w:rsidP="00F037A0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C82FF2" w:rsidRPr="0020780E" w:rsidRDefault="00C82FF2" w:rsidP="00C82FF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C82FF2" w:rsidRDefault="00C82FF2" w:rsidP="00C82FF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publiczną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………………..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 o których mowa w ust. 3 pkt 1,</w:t>
      </w:r>
    </w:p>
    <w:p w:rsidR="00C82FF2" w:rsidRDefault="00C82FF2" w:rsidP="00C82FF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de minimis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 o których mowa w ust. 3 pkt 2.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F037A0" w:rsidRDefault="00F037A0" w:rsidP="00F037A0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3161DA" w:rsidRDefault="003161DA" w:rsidP="003161D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tym:</w:t>
      </w:r>
    </w:p>
    <w:p w:rsidR="003161DA" w:rsidRDefault="003161DA" w:rsidP="003161D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stanowiące koszty bezpośrednie do kwoty 37 218 808,86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>
        <w:rPr>
          <w:rFonts w:ascii="Times New Roman" w:hAnsi="Times New Roman"/>
          <w:bCs/>
          <w:sz w:val="20"/>
          <w:szCs w:val="20"/>
        </w:rPr>
        <w:t>trzydzieści siedem milionów dwieście osiemnaście tysięcy osiemset osiem 86</w:t>
      </w:r>
      <w:r w:rsidRPr="0020780E">
        <w:rPr>
          <w:rFonts w:ascii="Times New Roman" w:hAnsi="Times New Roman"/>
          <w:bCs/>
          <w:sz w:val="20"/>
          <w:szCs w:val="20"/>
        </w:rPr>
        <w:t>/100 złotych)</w:t>
      </w:r>
      <w:r>
        <w:rPr>
          <w:rFonts w:ascii="Times New Roman" w:hAnsi="Times New Roman"/>
          <w:bCs/>
          <w:sz w:val="20"/>
          <w:szCs w:val="20"/>
        </w:rPr>
        <w:t xml:space="preserve">, </w:t>
      </w:r>
    </w:p>
    <w:p w:rsidR="003161DA" w:rsidRDefault="003161DA" w:rsidP="003161D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stanowiące koszty pośrednie do kwoty 372 188,04 zł, (słownie: trzysta siedemdziesiąt dwa tysiące sto osiemdziesiąt osiem 04/100 PLN).”</w:t>
      </w:r>
    </w:p>
    <w:p w:rsidR="003161DA" w:rsidRDefault="003161DA" w:rsidP="003161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61DA" w:rsidRDefault="003161DA" w:rsidP="003161DA">
      <w:pPr>
        <w:pStyle w:val="Akapitzlist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10 ust. 4 otrzymuje brzmienie: </w:t>
      </w:r>
    </w:p>
    <w:p w:rsidR="00F037A0" w:rsidRDefault="00F037A0" w:rsidP="00F037A0">
      <w:pPr>
        <w:pStyle w:val="Akapitzlist"/>
        <w:ind w:left="786"/>
        <w:rPr>
          <w:rFonts w:ascii="Times New Roman" w:hAnsi="Times New Roman"/>
          <w:sz w:val="20"/>
          <w:szCs w:val="20"/>
        </w:rPr>
      </w:pPr>
    </w:p>
    <w:p w:rsidR="003161DA" w:rsidRDefault="003161DA" w:rsidP="003161D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„W szczególnie uzasadnionych przypadkach Instytucja Zarządzająca RPO WZ może wyrazić zgodę na odstąpienie przez Beneficjenta od wydatkowania środków zaliczki w proporcji odpowiadającej udziałowi dofinansowania w wydatkach kwalifikowalnych, określonej w § 2 ust. 4 Decyzji.”</w:t>
      </w:r>
    </w:p>
    <w:p w:rsidR="003161DA" w:rsidRDefault="003161DA" w:rsidP="003161D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3161DA" w:rsidRDefault="003161DA" w:rsidP="003161DA">
      <w:pPr>
        <w:pStyle w:val="Akapitzlist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19 ust. 3 otrzymuje brzmienie: </w:t>
      </w:r>
    </w:p>
    <w:p w:rsidR="00F037A0" w:rsidRDefault="00F037A0" w:rsidP="00F037A0">
      <w:pPr>
        <w:pStyle w:val="Akapitzlist"/>
        <w:ind w:left="786"/>
        <w:rPr>
          <w:rFonts w:ascii="Times New Roman" w:hAnsi="Times New Roman"/>
          <w:sz w:val="20"/>
          <w:szCs w:val="20"/>
        </w:rPr>
      </w:pPr>
    </w:p>
    <w:p w:rsidR="003161DA" w:rsidRDefault="003161DA" w:rsidP="003161D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Projektu, pomocy publicznej, oraz podatku od towarów i usług, o którym mowa w ustawie o VAT.”</w:t>
      </w:r>
    </w:p>
    <w:p w:rsidR="003161DA" w:rsidRDefault="003161DA" w:rsidP="003161D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3161DA" w:rsidRDefault="003161DA" w:rsidP="003161D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33 w zakresie załącznika nr 6 otrzymuje brzmienie: </w:t>
      </w:r>
    </w:p>
    <w:p w:rsidR="00F037A0" w:rsidRDefault="00F037A0" w:rsidP="00F037A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3161DA" w:rsidRDefault="003161DA" w:rsidP="003161D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„Zasady w zakresie kwalifikowalności podatku od towarów i usług dla projektów dofinansowanych w ramach Regionalnego Programu Operacyjnego Województwa Zachodniopomorskiego 2014-2020 (wersja 3.0)”</w:t>
      </w:r>
    </w:p>
    <w:p w:rsidR="003161DA" w:rsidRDefault="003161DA" w:rsidP="003161D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3161DA" w:rsidRDefault="003161DA" w:rsidP="003161D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6 do decyzji o dofinansowaniu otrzymuje brzmienie określone w Załączniku nr 1 </w:t>
      </w:r>
      <w:r>
        <w:rPr>
          <w:rFonts w:ascii="Times New Roman" w:hAnsi="Times New Roman"/>
          <w:sz w:val="20"/>
          <w:szCs w:val="20"/>
        </w:rPr>
        <w:br w:type="textWrapping" w:clear="all"/>
        <w:t>do niniejszej decyzji zmieniającej.</w:t>
      </w:r>
    </w:p>
    <w:p w:rsidR="003161DA" w:rsidRPr="003161DA" w:rsidRDefault="003161DA" w:rsidP="003161D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C173D" w:rsidRPr="000B4096" w:rsidRDefault="00FC173D" w:rsidP="00FC173D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D25BCC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D25BCC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F037A0" w:rsidRDefault="00F037A0" w:rsidP="00D25BCC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CD3D0E" w:rsidRPr="000A26C7" w:rsidRDefault="00CD3D0E" w:rsidP="00D25BCC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CD3D0E" w:rsidRDefault="00576770" w:rsidP="00D25BCC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 </w:t>
      </w:r>
    </w:p>
    <w:p w:rsidR="00895ACE" w:rsidRPr="00895ACE" w:rsidRDefault="00895ACE" w:rsidP="003B286F">
      <w:pPr>
        <w:suppressAutoHyphens/>
        <w:spacing w:after="120" w:line="240" w:lineRule="auto"/>
        <w:ind w:firstLine="426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5A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895ACE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D706DB" w:rsidRDefault="00D706DB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ACE" w:rsidRPr="00895ACE" w:rsidRDefault="00895ACE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D706DB" w:rsidRDefault="00D706DB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ACE" w:rsidRPr="00895ACE" w:rsidRDefault="00895ACE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F037A0" w:rsidRDefault="00F037A0" w:rsidP="007120CE">
      <w:pPr>
        <w:pStyle w:val="Akapitzlist"/>
        <w:spacing w:after="0" w:line="240" w:lineRule="auto"/>
        <w:ind w:left="405"/>
        <w:jc w:val="both"/>
        <w:rPr>
          <w:rFonts w:ascii="Times New Roman" w:hAnsi="Times New Roman"/>
          <w:sz w:val="20"/>
          <w:szCs w:val="20"/>
        </w:rPr>
      </w:pPr>
    </w:p>
    <w:p w:rsidR="00F037A0" w:rsidRPr="00F037A0" w:rsidRDefault="00F037A0" w:rsidP="00F037A0"/>
    <w:p w:rsidR="00F037A0" w:rsidRPr="00F037A0" w:rsidRDefault="00F037A0" w:rsidP="00F037A0"/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Default="00F037A0" w:rsidP="00F037A0">
      <w:pPr>
        <w:rPr>
          <w:sz w:val="20"/>
          <w:szCs w:val="20"/>
        </w:rPr>
      </w:pPr>
    </w:p>
    <w:p w:rsidR="00F037A0" w:rsidRPr="00F037A0" w:rsidRDefault="00F037A0" w:rsidP="00F037A0">
      <w:pPr>
        <w:rPr>
          <w:sz w:val="20"/>
          <w:szCs w:val="20"/>
        </w:rPr>
      </w:pPr>
    </w:p>
    <w:p w:rsidR="005B2FB1" w:rsidRPr="00F037A0" w:rsidRDefault="00F037A0" w:rsidP="00F037A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037A0">
        <w:rPr>
          <w:rFonts w:ascii="Times New Roman" w:hAnsi="Times New Roman" w:cs="Times New Roman"/>
          <w:sz w:val="20"/>
          <w:szCs w:val="20"/>
        </w:rPr>
        <w:t>Załaczniki</w:t>
      </w:r>
      <w:proofErr w:type="spellEnd"/>
      <w:r w:rsidRPr="00F037A0">
        <w:rPr>
          <w:rFonts w:ascii="Times New Roman" w:hAnsi="Times New Roman" w:cs="Times New Roman"/>
          <w:sz w:val="20"/>
          <w:szCs w:val="20"/>
        </w:rPr>
        <w:t>:</w:t>
      </w:r>
    </w:p>
    <w:p w:rsidR="00F037A0" w:rsidRDefault="00F037A0" w:rsidP="00F037A0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„Zasady w zakresie kwalifikowalności podatku od towarów i usług dla projektów dofinansowanych w ramach Regionalnego Programu Operacyjnego Województwa Zachodniopomorskiego 2014-2020 (wersja 3.0)”</w:t>
      </w:r>
    </w:p>
    <w:p w:rsidR="00F037A0" w:rsidRPr="00F037A0" w:rsidRDefault="00F037A0" w:rsidP="00F037A0">
      <w:pPr>
        <w:pStyle w:val="Akapitzlist"/>
        <w:ind w:left="426"/>
      </w:pPr>
    </w:p>
    <w:sectPr w:rsidR="00F037A0" w:rsidRPr="00F037A0" w:rsidSect="00F037A0">
      <w:footerReference w:type="default" r:id="rId10"/>
      <w:pgSz w:w="11906" w:h="16838"/>
      <w:pgMar w:top="1276" w:right="1418" w:bottom="22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39" w:rsidRDefault="00E34339" w:rsidP="00952B6B">
      <w:pPr>
        <w:spacing w:after="0" w:line="240" w:lineRule="auto"/>
      </w:pPr>
      <w:r>
        <w:separator/>
      </w:r>
    </w:p>
  </w:endnote>
  <w:endnote w:type="continuationSeparator" w:id="0">
    <w:p w:rsidR="00E34339" w:rsidRDefault="00E34339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1C7A61">
        <w:pPr>
          <w:pStyle w:val="Stopka"/>
          <w:jc w:val="right"/>
          <w:rPr>
            <w:rFonts w:ascii="Arial" w:hAnsi="Arial" w:cs="Arial"/>
          </w:rPr>
        </w:pP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39" w:rsidRDefault="00E34339" w:rsidP="00952B6B">
      <w:pPr>
        <w:spacing w:after="0" w:line="240" w:lineRule="auto"/>
      </w:pPr>
      <w:r>
        <w:separator/>
      </w:r>
    </w:p>
  </w:footnote>
  <w:footnote w:type="continuationSeparator" w:id="0">
    <w:p w:rsidR="00E34339" w:rsidRDefault="00E34339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33D81441"/>
    <w:multiLevelType w:val="hybridMultilevel"/>
    <w:tmpl w:val="A6D8320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3D1E582B"/>
    <w:multiLevelType w:val="hybridMultilevel"/>
    <w:tmpl w:val="8248768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1DD7119"/>
    <w:multiLevelType w:val="hybridMultilevel"/>
    <w:tmpl w:val="4568FE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0"/>
  </w:num>
  <w:num w:numId="5">
    <w:abstractNumId w:val="25"/>
  </w:num>
  <w:num w:numId="6">
    <w:abstractNumId w:val="12"/>
  </w:num>
  <w:num w:numId="7">
    <w:abstractNumId w:val="18"/>
  </w:num>
  <w:num w:numId="8">
    <w:abstractNumId w:val="22"/>
  </w:num>
  <w:num w:numId="9">
    <w:abstractNumId w:val="14"/>
  </w:num>
  <w:num w:numId="10">
    <w:abstractNumId w:val="4"/>
  </w:num>
  <w:num w:numId="11">
    <w:abstractNumId w:val="27"/>
  </w:num>
  <w:num w:numId="12">
    <w:abstractNumId w:val="3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5"/>
  </w:num>
  <w:num w:numId="18">
    <w:abstractNumId w:val="6"/>
  </w:num>
  <w:num w:numId="19">
    <w:abstractNumId w:val="21"/>
  </w:num>
  <w:num w:numId="20">
    <w:abstractNumId w:val="8"/>
  </w:num>
  <w:num w:numId="21">
    <w:abstractNumId w:val="13"/>
  </w:num>
  <w:num w:numId="22">
    <w:abstractNumId w:val="28"/>
  </w:num>
  <w:num w:numId="23">
    <w:abstractNumId w:val="7"/>
  </w:num>
  <w:num w:numId="24">
    <w:abstractNumId w:val="26"/>
  </w:num>
  <w:num w:numId="25">
    <w:abstractNumId w:val="23"/>
  </w:num>
  <w:num w:numId="26">
    <w:abstractNumId w:val="17"/>
  </w:num>
  <w:num w:numId="27">
    <w:abstractNumId w:val="24"/>
  </w:num>
  <w:num w:numId="28">
    <w:abstractNumId w:val="9"/>
  </w:num>
  <w:num w:numId="29">
    <w:abstractNumId w:val="5"/>
    <w:lvlOverride w:ilvl="0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B4096"/>
    <w:rsid w:val="000C3B2D"/>
    <w:rsid w:val="000E0C42"/>
    <w:rsid w:val="000E772E"/>
    <w:rsid w:val="0010264F"/>
    <w:rsid w:val="00105BF4"/>
    <w:rsid w:val="00105C0F"/>
    <w:rsid w:val="0011697F"/>
    <w:rsid w:val="001308BD"/>
    <w:rsid w:val="0015048A"/>
    <w:rsid w:val="00173534"/>
    <w:rsid w:val="00176C1A"/>
    <w:rsid w:val="001830A9"/>
    <w:rsid w:val="001A598B"/>
    <w:rsid w:val="001C3052"/>
    <w:rsid w:val="001C517E"/>
    <w:rsid w:val="001C7A61"/>
    <w:rsid w:val="001E2A39"/>
    <w:rsid w:val="0021153A"/>
    <w:rsid w:val="002260FB"/>
    <w:rsid w:val="00240676"/>
    <w:rsid w:val="00254A4F"/>
    <w:rsid w:val="00274411"/>
    <w:rsid w:val="00280737"/>
    <w:rsid w:val="002935C6"/>
    <w:rsid w:val="00296444"/>
    <w:rsid w:val="002E2BBE"/>
    <w:rsid w:val="002E58CB"/>
    <w:rsid w:val="00307998"/>
    <w:rsid w:val="003161DA"/>
    <w:rsid w:val="00335816"/>
    <w:rsid w:val="00342482"/>
    <w:rsid w:val="00384E6E"/>
    <w:rsid w:val="003A793C"/>
    <w:rsid w:val="003B286F"/>
    <w:rsid w:val="003D7CF2"/>
    <w:rsid w:val="004148C7"/>
    <w:rsid w:val="004305EA"/>
    <w:rsid w:val="004325EA"/>
    <w:rsid w:val="00433DFC"/>
    <w:rsid w:val="00446969"/>
    <w:rsid w:val="004623E3"/>
    <w:rsid w:val="00472040"/>
    <w:rsid w:val="004C1592"/>
    <w:rsid w:val="004F55D2"/>
    <w:rsid w:val="00502FF0"/>
    <w:rsid w:val="00505D79"/>
    <w:rsid w:val="00512F8D"/>
    <w:rsid w:val="00532CDC"/>
    <w:rsid w:val="005343E2"/>
    <w:rsid w:val="00546B25"/>
    <w:rsid w:val="00576770"/>
    <w:rsid w:val="005863A4"/>
    <w:rsid w:val="005A31A4"/>
    <w:rsid w:val="005B1AFE"/>
    <w:rsid w:val="005B2FB1"/>
    <w:rsid w:val="005C7E03"/>
    <w:rsid w:val="005E6336"/>
    <w:rsid w:val="005F61D1"/>
    <w:rsid w:val="006217C6"/>
    <w:rsid w:val="0062242D"/>
    <w:rsid w:val="00667C01"/>
    <w:rsid w:val="006779D6"/>
    <w:rsid w:val="006A15EB"/>
    <w:rsid w:val="006A24BB"/>
    <w:rsid w:val="006B5052"/>
    <w:rsid w:val="006B797A"/>
    <w:rsid w:val="007120CE"/>
    <w:rsid w:val="00715F23"/>
    <w:rsid w:val="00753034"/>
    <w:rsid w:val="00776BE3"/>
    <w:rsid w:val="007B78A6"/>
    <w:rsid w:val="007C150F"/>
    <w:rsid w:val="007C30C3"/>
    <w:rsid w:val="007D7F1C"/>
    <w:rsid w:val="007F238A"/>
    <w:rsid w:val="007F629B"/>
    <w:rsid w:val="00820068"/>
    <w:rsid w:val="00837552"/>
    <w:rsid w:val="0084621A"/>
    <w:rsid w:val="0084780D"/>
    <w:rsid w:val="00855FAD"/>
    <w:rsid w:val="008658E2"/>
    <w:rsid w:val="00866425"/>
    <w:rsid w:val="00894CD0"/>
    <w:rsid w:val="00895ACE"/>
    <w:rsid w:val="008961A6"/>
    <w:rsid w:val="008A3D58"/>
    <w:rsid w:val="008C141D"/>
    <w:rsid w:val="008D1E8A"/>
    <w:rsid w:val="008E1F4E"/>
    <w:rsid w:val="008E3454"/>
    <w:rsid w:val="008F1E69"/>
    <w:rsid w:val="009011C0"/>
    <w:rsid w:val="009116D9"/>
    <w:rsid w:val="00917AE4"/>
    <w:rsid w:val="00931811"/>
    <w:rsid w:val="009436FE"/>
    <w:rsid w:val="009437CD"/>
    <w:rsid w:val="00944846"/>
    <w:rsid w:val="00952B6B"/>
    <w:rsid w:val="009649B3"/>
    <w:rsid w:val="009E6D26"/>
    <w:rsid w:val="009F45A6"/>
    <w:rsid w:val="009F77C3"/>
    <w:rsid w:val="009F7AFE"/>
    <w:rsid w:val="00A358F0"/>
    <w:rsid w:val="00A56DED"/>
    <w:rsid w:val="00A57E95"/>
    <w:rsid w:val="00A734F7"/>
    <w:rsid w:val="00A83DC3"/>
    <w:rsid w:val="00A92C8E"/>
    <w:rsid w:val="00AE6717"/>
    <w:rsid w:val="00AF4C3D"/>
    <w:rsid w:val="00B078DB"/>
    <w:rsid w:val="00B4564C"/>
    <w:rsid w:val="00B74653"/>
    <w:rsid w:val="00B77E0E"/>
    <w:rsid w:val="00B91228"/>
    <w:rsid w:val="00C05005"/>
    <w:rsid w:val="00C051EA"/>
    <w:rsid w:val="00C4055F"/>
    <w:rsid w:val="00C4208E"/>
    <w:rsid w:val="00C473CF"/>
    <w:rsid w:val="00C82FF2"/>
    <w:rsid w:val="00CA7706"/>
    <w:rsid w:val="00CB30D3"/>
    <w:rsid w:val="00CB4F5C"/>
    <w:rsid w:val="00CD3D0E"/>
    <w:rsid w:val="00CE48EB"/>
    <w:rsid w:val="00D15010"/>
    <w:rsid w:val="00D1754A"/>
    <w:rsid w:val="00D25BCC"/>
    <w:rsid w:val="00D45DFB"/>
    <w:rsid w:val="00D52E52"/>
    <w:rsid w:val="00D55EDE"/>
    <w:rsid w:val="00D706DB"/>
    <w:rsid w:val="00D77407"/>
    <w:rsid w:val="00DC4530"/>
    <w:rsid w:val="00DD6A73"/>
    <w:rsid w:val="00DE39E8"/>
    <w:rsid w:val="00E04C5F"/>
    <w:rsid w:val="00E063E3"/>
    <w:rsid w:val="00E21D5F"/>
    <w:rsid w:val="00E34339"/>
    <w:rsid w:val="00E36955"/>
    <w:rsid w:val="00E54218"/>
    <w:rsid w:val="00E67A87"/>
    <w:rsid w:val="00E70652"/>
    <w:rsid w:val="00E707BC"/>
    <w:rsid w:val="00EC1898"/>
    <w:rsid w:val="00EC59A8"/>
    <w:rsid w:val="00EE6364"/>
    <w:rsid w:val="00F037A0"/>
    <w:rsid w:val="00F129AF"/>
    <w:rsid w:val="00F35B93"/>
    <w:rsid w:val="00F72F31"/>
    <w:rsid w:val="00F77D5B"/>
    <w:rsid w:val="00F8137A"/>
    <w:rsid w:val="00F927BF"/>
    <w:rsid w:val="00FB27C7"/>
    <w:rsid w:val="00FC173D"/>
    <w:rsid w:val="00FC33AC"/>
    <w:rsid w:val="00FC642C"/>
    <w:rsid w:val="00FD41E1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82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8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8D8F2-598F-4B78-8B72-B0D44E8B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mswiderska</cp:lastModifiedBy>
  <cp:revision>10</cp:revision>
  <cp:lastPrinted>2017-07-19T11:20:00Z</cp:lastPrinted>
  <dcterms:created xsi:type="dcterms:W3CDTF">2017-04-11T11:43:00Z</dcterms:created>
  <dcterms:modified xsi:type="dcterms:W3CDTF">2017-07-19T11:20:00Z</dcterms:modified>
</cp:coreProperties>
</file>