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17DDC" w14:textId="77777777" w:rsidR="009C1707" w:rsidRDefault="009C1707" w:rsidP="00FF79C1">
      <w:pPr>
        <w:spacing w:line="360" w:lineRule="auto"/>
        <w:jc w:val="both"/>
        <w:rPr>
          <w:b/>
          <w:bCs/>
        </w:rPr>
      </w:pPr>
      <w:bookmarkStart w:id="0" w:name="_GoBack"/>
      <w:bookmarkEnd w:id="0"/>
    </w:p>
    <w:p w14:paraId="78361777" w14:textId="77777777" w:rsidR="001A363C" w:rsidRDefault="009A5CC4" w:rsidP="00FF79C1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Regulamin </w:t>
      </w:r>
      <w:r w:rsidR="001A363C">
        <w:rPr>
          <w:b/>
          <w:bCs/>
        </w:rPr>
        <w:t xml:space="preserve">Wewnętrzny </w:t>
      </w:r>
      <w:r>
        <w:rPr>
          <w:b/>
          <w:bCs/>
        </w:rPr>
        <w:t xml:space="preserve">Rady Inwestycyjnej Zachodniopomorskiego Funduszu Powierniczego JEREMIE </w:t>
      </w:r>
    </w:p>
    <w:p w14:paraId="4E2F396C" w14:textId="77777777" w:rsidR="00454596" w:rsidRDefault="009A5CC4" w:rsidP="00FF79C1">
      <w:pPr>
        <w:spacing w:line="360" w:lineRule="auto"/>
        <w:jc w:val="center"/>
        <w:rPr>
          <w:b/>
          <w:bCs/>
        </w:rPr>
      </w:pPr>
      <w:r>
        <w:rPr>
          <w:b/>
          <w:bCs/>
        </w:rPr>
        <w:t>(wersja</w:t>
      </w:r>
      <w:r w:rsidR="006C0355">
        <w:rPr>
          <w:b/>
          <w:bCs/>
        </w:rPr>
        <w:t xml:space="preserve"> 4.0</w:t>
      </w:r>
      <w:r>
        <w:rPr>
          <w:b/>
          <w:bCs/>
        </w:rPr>
        <w:t>)</w:t>
      </w:r>
    </w:p>
    <w:p w14:paraId="04BAD48E" w14:textId="77777777" w:rsidR="009A5CC4" w:rsidRDefault="009A5CC4" w:rsidP="00FF79C1">
      <w:pPr>
        <w:spacing w:line="360" w:lineRule="auto"/>
        <w:jc w:val="both"/>
        <w:rPr>
          <w:b/>
          <w:bCs/>
        </w:rPr>
      </w:pPr>
    </w:p>
    <w:p w14:paraId="0E7909C8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5478E7FD" w14:textId="77777777" w:rsidR="000B1366" w:rsidRDefault="000B136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Postanowienia ogólne</w:t>
      </w:r>
    </w:p>
    <w:p w14:paraId="3D68C6CD" w14:textId="77777777" w:rsidR="009C1707" w:rsidRDefault="009C1707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779F83E8" w14:textId="77777777" w:rsidR="006A7721" w:rsidRPr="00E65348" w:rsidRDefault="000B1366" w:rsidP="00E6534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95"/>
        <w:jc w:val="both"/>
        <w:rPr>
          <w:bCs/>
        </w:rPr>
      </w:pPr>
      <w:r w:rsidRPr="00E65348">
        <w:rPr>
          <w:bCs/>
        </w:rPr>
        <w:t>Rada Inwestycyjna Zachodniopomorskiego Funduszu Powierniczego JEREMIE, zwana dalej „Radą</w:t>
      </w:r>
      <w:r w:rsidR="007235F6" w:rsidRPr="00E65348">
        <w:rPr>
          <w:bCs/>
        </w:rPr>
        <w:t xml:space="preserve"> Inwestycyjną</w:t>
      </w:r>
      <w:r w:rsidRPr="00E65348">
        <w:rPr>
          <w:bCs/>
        </w:rPr>
        <w:t xml:space="preserve">”, powołana została na podstawie Art. 7 Umowy o dofinansowanie przedsięwzięcia </w:t>
      </w:r>
      <w:r w:rsidRPr="00E65348">
        <w:rPr>
          <w:bCs/>
          <w:i/>
        </w:rPr>
        <w:t>„Wsparcie przedsiębiorczości przez rozwój inżynierii finansowej w ramach inicjatywy JEREMIE w województwie zachodniopomorskim”</w:t>
      </w:r>
      <w:r w:rsidRPr="00E65348">
        <w:rPr>
          <w:bCs/>
        </w:rPr>
        <w:t xml:space="preserve"> nr UDA-RPZP.01.1.3.04-32-001/2009-01, zwanej dalej „Umową”, zawartej w dniu 29 września 2009 roku między Województwem Zachodniopomorskim</w:t>
      </w:r>
      <w:r w:rsidR="00BB68FD" w:rsidRPr="00E65348">
        <w:rPr>
          <w:bCs/>
        </w:rPr>
        <w:t>, reprezentowanym przez Zarząd Województwa Zachodniopomorskiego, pełniący rolę Instytucji Zarządzającej Regionalnym Programem Operacyjnym Województwa Zachodniopomorskiego na lata 2007-2013, zwany dalej „</w:t>
      </w:r>
      <w:r w:rsidR="00EA200C" w:rsidRPr="00E65348">
        <w:rPr>
          <w:bCs/>
        </w:rPr>
        <w:t>Instytucją Zarządzającą</w:t>
      </w:r>
      <w:r w:rsidR="00BB68FD" w:rsidRPr="00E65348">
        <w:rPr>
          <w:bCs/>
        </w:rPr>
        <w:t>”</w:t>
      </w:r>
      <w:r w:rsidRPr="00E65348">
        <w:rPr>
          <w:bCs/>
        </w:rPr>
        <w:t xml:space="preserve"> a Bankiem Gospodarstwa Krajowego</w:t>
      </w:r>
      <w:r w:rsidR="00BB68FD" w:rsidRPr="00E65348">
        <w:rPr>
          <w:bCs/>
        </w:rPr>
        <w:t xml:space="preserve"> pełniącym funkcję Menadżera Zachodniopomorskiego Funduszu Powierniczego JEREMIE, zwanym dalej „</w:t>
      </w:r>
      <w:r w:rsidR="00EA200C" w:rsidRPr="00E65348">
        <w:rPr>
          <w:bCs/>
        </w:rPr>
        <w:t>Menadżerem</w:t>
      </w:r>
      <w:r w:rsidR="00BB68FD" w:rsidRPr="00E65348">
        <w:rPr>
          <w:bCs/>
        </w:rPr>
        <w:t>”</w:t>
      </w:r>
      <w:r w:rsidR="00674591">
        <w:rPr>
          <w:bCs/>
        </w:rPr>
        <w:t>.</w:t>
      </w:r>
      <w:r w:rsidR="00BB68FD" w:rsidRPr="00E65348">
        <w:rPr>
          <w:bCs/>
        </w:rPr>
        <w:t xml:space="preserve"> </w:t>
      </w:r>
    </w:p>
    <w:p w14:paraId="3D944887" w14:textId="77777777" w:rsidR="006C0355" w:rsidRDefault="00024285" w:rsidP="006C035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95"/>
        <w:jc w:val="both"/>
        <w:rPr>
          <w:bCs/>
          <w:u w:val="single"/>
        </w:rPr>
      </w:pPr>
      <w:r>
        <w:t>Rada Inwestycyjna jest kolegialnym organem opiniodawczym pełniącym rolę doradczą i</w:t>
      </w:r>
      <w:r w:rsidR="00E63C94">
        <w:t> </w:t>
      </w:r>
      <w:r>
        <w:t>wspomagającym Instytucję Zarządzającą we wdrażaniu Inicjatywy JEREMIE.</w:t>
      </w:r>
    </w:p>
    <w:p w14:paraId="7CAF3696" w14:textId="77777777" w:rsidR="00635241" w:rsidRPr="006C0355" w:rsidRDefault="00635241" w:rsidP="006C035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95"/>
        <w:jc w:val="both"/>
        <w:rPr>
          <w:bCs/>
          <w:u w:val="single"/>
        </w:rPr>
      </w:pPr>
      <w:r>
        <w:t xml:space="preserve">W celu zapewnienia sprawnego funkcjonowania Rady </w:t>
      </w:r>
      <w:r w:rsidR="006A7721">
        <w:t xml:space="preserve">Inwestycyjnej </w:t>
      </w:r>
      <w:r>
        <w:t>przyjęty zostaje Regulamin</w:t>
      </w:r>
      <w:r w:rsidR="006A7721">
        <w:t xml:space="preserve"> Wewnętrzny</w:t>
      </w:r>
      <w:r>
        <w:t xml:space="preserve"> Rady Inwestycyjnej Zachodniopomorskiego Funduszu Powierniczego JEREMIE, zwany dalej Regulaminem.</w:t>
      </w:r>
    </w:p>
    <w:p w14:paraId="68CE06A2" w14:textId="77777777" w:rsidR="000B1366" w:rsidRPr="00E65348" w:rsidRDefault="000B1366" w:rsidP="000B1366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u w:val="single"/>
        </w:rPr>
      </w:pPr>
      <w:r w:rsidRPr="00E309B6">
        <w:rPr>
          <w:b/>
          <w:bCs/>
        </w:rPr>
        <w:t>§</w:t>
      </w:r>
      <w:r>
        <w:rPr>
          <w:b/>
          <w:bCs/>
        </w:rPr>
        <w:t xml:space="preserve"> 2</w:t>
      </w:r>
    </w:p>
    <w:p w14:paraId="42E175A7" w14:textId="77777777" w:rsidR="00454596" w:rsidRDefault="00454596" w:rsidP="005F30BA">
      <w:pPr>
        <w:spacing w:line="360" w:lineRule="auto"/>
        <w:jc w:val="center"/>
        <w:rPr>
          <w:b/>
          <w:bCs/>
        </w:rPr>
      </w:pPr>
      <w:r>
        <w:rPr>
          <w:b/>
          <w:bCs/>
        </w:rPr>
        <w:t>Przedmiot Regulaminu</w:t>
      </w:r>
    </w:p>
    <w:p w14:paraId="5E6B6AB9" w14:textId="77777777" w:rsidR="009A5CC4" w:rsidRDefault="009A5CC4" w:rsidP="00FF79C1">
      <w:pPr>
        <w:autoSpaceDE w:val="0"/>
        <w:autoSpaceDN w:val="0"/>
        <w:adjustRightInd w:val="0"/>
        <w:jc w:val="both"/>
        <w:rPr>
          <w:b/>
          <w:bCs/>
        </w:rPr>
      </w:pPr>
    </w:p>
    <w:p w14:paraId="59EA19FD" w14:textId="77777777" w:rsidR="00454596" w:rsidRDefault="00454596" w:rsidP="00E6534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Regulamin określa zasady działania Rady Inwestycyjnej, w tym w szczególności:</w:t>
      </w:r>
    </w:p>
    <w:p w14:paraId="04F3F680" w14:textId="77777777" w:rsidR="00454596" w:rsidRDefault="00454596" w:rsidP="00E63C94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a) kompetencje i zadania Rady Inwestycyjnej,</w:t>
      </w:r>
    </w:p>
    <w:p w14:paraId="1E443C15" w14:textId="21F57A78" w:rsidR="00454596" w:rsidRDefault="00454596" w:rsidP="00E63C94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b) sposób i tryb powoływania </w:t>
      </w:r>
      <w:r w:rsidR="00BB68FD">
        <w:t xml:space="preserve">i odwoływania </w:t>
      </w:r>
      <w:r>
        <w:t>Członków Rady Inwestycyjnej,</w:t>
      </w:r>
    </w:p>
    <w:p w14:paraId="3AC1B238" w14:textId="6168233C" w:rsidR="00454596" w:rsidRDefault="00454596" w:rsidP="00E63C94">
      <w:pPr>
        <w:autoSpaceDE w:val="0"/>
        <w:autoSpaceDN w:val="0"/>
        <w:adjustRightInd w:val="0"/>
        <w:spacing w:line="360" w:lineRule="auto"/>
        <w:ind w:left="708"/>
        <w:jc w:val="both"/>
      </w:pPr>
      <w:r>
        <w:t xml:space="preserve">c) </w:t>
      </w:r>
      <w:r w:rsidR="00BB68FD">
        <w:t xml:space="preserve">obowiązki i </w:t>
      </w:r>
      <w:r>
        <w:t>wymagania stawiane Członkom Rady Inwestycyjnej,</w:t>
      </w:r>
    </w:p>
    <w:p w14:paraId="33DED7D9" w14:textId="77777777" w:rsidR="00454596" w:rsidRDefault="00454596" w:rsidP="00E63C94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d) tryb zwoływania i przebiegu posiedzeń Rady Inwestycyjnej,</w:t>
      </w:r>
    </w:p>
    <w:p w14:paraId="070B80F1" w14:textId="77777777" w:rsidR="00E63C94" w:rsidRDefault="00454596" w:rsidP="00E63C94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e) tryb wydawania opinii przez Radę Inwestycyjną,</w:t>
      </w:r>
      <w:r w:rsidR="00C74F79">
        <w:t xml:space="preserve"> </w:t>
      </w:r>
    </w:p>
    <w:p w14:paraId="5F5E609C" w14:textId="731CA63C" w:rsidR="007235F6" w:rsidRDefault="007235F6" w:rsidP="00E63C94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f) normy postępowania Członków Rady Inwestycyjnej</w:t>
      </w:r>
      <w:r w:rsidR="00E63C94">
        <w:t>.</w:t>
      </w:r>
    </w:p>
    <w:p w14:paraId="42AD3051" w14:textId="77777777" w:rsidR="00454596" w:rsidRDefault="00454596" w:rsidP="00FF79C1">
      <w:pPr>
        <w:spacing w:line="360" w:lineRule="auto"/>
        <w:jc w:val="both"/>
      </w:pPr>
    </w:p>
    <w:p w14:paraId="09235FA2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7235F6">
        <w:rPr>
          <w:b/>
          <w:bCs/>
        </w:rPr>
        <w:t>3</w:t>
      </w:r>
    </w:p>
    <w:p w14:paraId="2D1872EA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Zadania Rady Inwestycyjnej</w:t>
      </w:r>
    </w:p>
    <w:p w14:paraId="1DFD432B" w14:textId="77777777" w:rsidR="00454596" w:rsidRDefault="00454596" w:rsidP="00E6534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18067907" w14:textId="77777777" w:rsidR="00E65348" w:rsidRDefault="00454596" w:rsidP="00E65348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 xml:space="preserve">Do </w:t>
      </w:r>
      <w:r w:rsidR="00EA200C">
        <w:t xml:space="preserve">zadań </w:t>
      </w:r>
      <w:r>
        <w:t xml:space="preserve">Rady Inwestycyjnej </w:t>
      </w:r>
      <w:r w:rsidR="009338EB">
        <w:t>należy</w:t>
      </w:r>
      <w:r>
        <w:t xml:space="preserve"> w szczególności:</w:t>
      </w:r>
      <w:r w:rsidR="00024285">
        <w:t xml:space="preserve"> </w:t>
      </w:r>
    </w:p>
    <w:p w14:paraId="4B5DC20E" w14:textId="77777777" w:rsidR="00024285" w:rsidRDefault="00454596" w:rsidP="00E65348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>opiniowanie lub zgłaszanie propozycji aktualizacji Strategii Inwestycyjnej</w:t>
      </w:r>
      <w:r w:rsidR="00024285">
        <w:t>,</w:t>
      </w:r>
    </w:p>
    <w:p w14:paraId="66EA7BFC" w14:textId="77777777" w:rsidR="009C1707" w:rsidRDefault="009C1707" w:rsidP="009C1707">
      <w:pPr>
        <w:autoSpaceDE w:val="0"/>
        <w:autoSpaceDN w:val="0"/>
        <w:adjustRightInd w:val="0"/>
        <w:spacing w:line="360" w:lineRule="auto"/>
        <w:ind w:left="1004"/>
        <w:jc w:val="both"/>
      </w:pPr>
    </w:p>
    <w:p w14:paraId="4CA357C6" w14:textId="77777777" w:rsidR="00A95C68" w:rsidRDefault="00A95C68" w:rsidP="009C1707">
      <w:pPr>
        <w:autoSpaceDE w:val="0"/>
        <w:autoSpaceDN w:val="0"/>
        <w:adjustRightInd w:val="0"/>
        <w:spacing w:line="360" w:lineRule="auto"/>
        <w:ind w:left="1004"/>
        <w:jc w:val="both"/>
      </w:pPr>
    </w:p>
    <w:p w14:paraId="316B2FFB" w14:textId="77777777" w:rsidR="00683FE2" w:rsidRDefault="00A6667C" w:rsidP="00E65348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 xml:space="preserve">opiniowanie </w:t>
      </w:r>
      <w:r w:rsidR="00683FE2">
        <w:t>Regulaminów Konkursów przygotowywanych przez Menadżera,</w:t>
      </w:r>
    </w:p>
    <w:p w14:paraId="781C7CFB" w14:textId="77777777" w:rsidR="007E4686" w:rsidRDefault="00683FE2" w:rsidP="00E65348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>opiniowanie Biznes Planów Pośredników Finansowych</w:t>
      </w:r>
      <w:r w:rsidR="00E63C94">
        <w:t>,</w:t>
      </w:r>
    </w:p>
    <w:p w14:paraId="77F3B05A" w14:textId="77777777" w:rsidR="007E4686" w:rsidRDefault="007E4686" w:rsidP="00E65348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>opiniowanie decyzji o rozwiązaniu Umowy, likwidacji Zachodniopomorskiego Funduszu Powierniczego JEREMIE</w:t>
      </w:r>
      <w:r w:rsidR="00E63C94">
        <w:t>,</w:t>
      </w:r>
    </w:p>
    <w:p w14:paraId="5AC1609C" w14:textId="2D224C27" w:rsidR="00683FE2" w:rsidRDefault="007E4686" w:rsidP="00E65348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>wydawanie opinii w zakresie innych dokumentów oraz kwestii wskazanych przez</w:t>
      </w:r>
      <w:r w:rsidR="006C0355">
        <w:t xml:space="preserve"> </w:t>
      </w:r>
      <w:r w:rsidR="00674591">
        <w:t>Instytucję Zarządzającą lub Menadżera</w:t>
      </w:r>
      <w:r w:rsidR="00E63C94">
        <w:t>,</w:t>
      </w:r>
    </w:p>
    <w:p w14:paraId="47A41A83" w14:textId="77777777" w:rsidR="00454596" w:rsidRDefault="00454596" w:rsidP="00E65348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 xml:space="preserve">opiniowanie </w:t>
      </w:r>
      <w:r w:rsidR="00EC3063">
        <w:t>Rocznych Planów Działań</w:t>
      </w:r>
      <w:r w:rsidR="00E63C94">
        <w:t>,</w:t>
      </w:r>
    </w:p>
    <w:p w14:paraId="7D99E542" w14:textId="77777777" w:rsidR="009F7DC3" w:rsidRDefault="009F7DC3" w:rsidP="00E65348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>opiniowanie kwartalnych i rocznych Sprawozdań z Postępu wdrażania Inicjatywy JEREMIE</w:t>
      </w:r>
      <w:r w:rsidR="00E63C94">
        <w:t>,</w:t>
      </w:r>
    </w:p>
    <w:p w14:paraId="13FD14BB" w14:textId="77777777" w:rsidR="00454596" w:rsidRDefault="009F7DC3" w:rsidP="00E65348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>opiniowanie kwartalnych i rocznych Sprawozdań z Kosztów Zarządzania</w:t>
      </w:r>
      <w:r w:rsidR="007E4686">
        <w:t xml:space="preserve"> Inicjatywą</w:t>
      </w:r>
      <w:r>
        <w:t xml:space="preserve"> JEREMIE</w:t>
      </w:r>
      <w:r w:rsidR="00E63C94">
        <w:t>,</w:t>
      </w:r>
    </w:p>
    <w:p w14:paraId="6F11183B" w14:textId="77777777" w:rsidR="007E4686" w:rsidRDefault="007E4686" w:rsidP="00E65348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>monitorowanie realizacji Przedsięwzięcia w kontekście Strategii Inwestycyjnej oraz celów RPO WZ</w:t>
      </w:r>
      <w:r w:rsidR="00E63C94">
        <w:t>,</w:t>
      </w:r>
      <w:r w:rsidDel="009F7DC3">
        <w:t xml:space="preserve"> </w:t>
      </w:r>
    </w:p>
    <w:p w14:paraId="7DDB8884" w14:textId="77777777" w:rsidR="00E309B6" w:rsidRDefault="00E309B6" w:rsidP="00E65348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</w:pPr>
      <w:r>
        <w:t>wydawanie opinii w zakresie dalszego rozwoju i optymalizacji wpływu Zachodniopomorskiego Funduszu Powierniczego JEREMIE i Inicjatywy JEREMIE na rozwój sektora MŚP w województwie zachodniopomorskim,</w:t>
      </w:r>
    </w:p>
    <w:p w14:paraId="6A111E2C" w14:textId="77777777" w:rsidR="003E5762" w:rsidRDefault="009F7DC3" w:rsidP="00E65348">
      <w:pPr>
        <w:numPr>
          <w:ilvl w:val="0"/>
          <w:numId w:val="6"/>
        </w:numPr>
        <w:spacing w:line="360" w:lineRule="auto"/>
        <w:jc w:val="both"/>
      </w:pPr>
      <w:r>
        <w:t xml:space="preserve">przygotowywanie, </w:t>
      </w:r>
      <w:r w:rsidR="00BD1907">
        <w:t>na wniosek Instytucji Zarządzającej i potrzeby posiedzeń Rady Inwestycyjnej</w:t>
      </w:r>
      <w:r>
        <w:t xml:space="preserve">, prelekcji </w:t>
      </w:r>
      <w:r w:rsidR="00BD1907">
        <w:t>z zakresu instrumentów finansowych, zgodnie z</w:t>
      </w:r>
      <w:r w:rsidR="00FA0C8D">
        <w:t xml:space="preserve"> posiadaną wiedzą i doświadczeniem</w:t>
      </w:r>
      <w:r w:rsidR="003E5762">
        <w:t xml:space="preserve"> </w:t>
      </w:r>
      <w:r w:rsidR="006C0355">
        <w:t>oraz</w:t>
      </w:r>
      <w:r w:rsidR="003E5762">
        <w:t xml:space="preserve"> wygłaszanie ich na zwoływanych przez Instytucję Zarządzającą posi</w:t>
      </w:r>
      <w:r w:rsidR="004F13B1">
        <w:t>e</w:t>
      </w:r>
      <w:r w:rsidR="00E63C94">
        <w:t>dzeniach,</w:t>
      </w:r>
      <w:r w:rsidR="00BD1907">
        <w:t xml:space="preserve"> </w:t>
      </w:r>
      <w:r w:rsidR="004F13B1">
        <w:t xml:space="preserve"> </w:t>
      </w:r>
    </w:p>
    <w:p w14:paraId="2DBF5F51" w14:textId="77777777" w:rsidR="00AF4165" w:rsidRDefault="00AF4165" w:rsidP="00E65348">
      <w:pPr>
        <w:numPr>
          <w:ilvl w:val="0"/>
          <w:numId w:val="6"/>
        </w:numPr>
        <w:spacing w:line="360" w:lineRule="auto"/>
        <w:jc w:val="both"/>
      </w:pPr>
      <w:r>
        <w:t xml:space="preserve">aktywne uczestnictwo w posiedzeniach Rady Inwestycyjnej, o których mowa w </w:t>
      </w:r>
      <w:r w:rsidRPr="00E65348">
        <w:rPr>
          <w:bCs/>
        </w:rPr>
        <w:t>§ 6</w:t>
      </w:r>
      <w:r>
        <w:rPr>
          <w:bCs/>
        </w:rPr>
        <w:t>.</w:t>
      </w:r>
    </w:p>
    <w:p w14:paraId="21B87E65" w14:textId="77777777" w:rsidR="004F13B1" w:rsidRDefault="004F13B1" w:rsidP="00E65348">
      <w:pPr>
        <w:numPr>
          <w:ilvl w:val="0"/>
          <w:numId w:val="6"/>
        </w:numPr>
        <w:spacing w:line="360" w:lineRule="auto"/>
        <w:jc w:val="both"/>
      </w:pPr>
      <w:r>
        <w:t>gotowość do uczestnictwa w spotkaniach bilateralnych zwoływanych z Inicjatywy Instytucji Zarządzającej</w:t>
      </w:r>
      <w:r w:rsidR="007E30D9">
        <w:t xml:space="preserve">, innych niż wskazanych w </w:t>
      </w:r>
      <w:r w:rsidR="007E30D9" w:rsidRPr="00E65348">
        <w:rPr>
          <w:bCs/>
        </w:rPr>
        <w:t>§ 6</w:t>
      </w:r>
      <w:r w:rsidR="007E30D9">
        <w:rPr>
          <w:bCs/>
        </w:rPr>
        <w:t>.</w:t>
      </w:r>
    </w:p>
    <w:p w14:paraId="3DD5A59C" w14:textId="1559AE30" w:rsidR="00FA0C8D" w:rsidRPr="006C0355" w:rsidRDefault="007E30D9" w:rsidP="00E65348">
      <w:pPr>
        <w:numPr>
          <w:ilvl w:val="0"/>
          <w:numId w:val="23"/>
        </w:numPr>
        <w:spacing w:line="360" w:lineRule="auto"/>
        <w:ind w:left="284" w:hanging="284"/>
        <w:jc w:val="both"/>
      </w:pPr>
      <w:r>
        <w:t xml:space="preserve">W odniesieniu do zapisów </w:t>
      </w:r>
      <w:r w:rsidRPr="00E65348">
        <w:rPr>
          <w:bCs/>
        </w:rPr>
        <w:t>§ 3</w:t>
      </w:r>
      <w:r>
        <w:rPr>
          <w:bCs/>
        </w:rPr>
        <w:t xml:space="preserve"> </w:t>
      </w:r>
      <w:r w:rsidR="00613898">
        <w:rPr>
          <w:bCs/>
        </w:rPr>
        <w:t xml:space="preserve">ust. 1 </w:t>
      </w:r>
      <w:r>
        <w:rPr>
          <w:bCs/>
        </w:rPr>
        <w:t>lit. a, lit. b, lit. c, lit. d</w:t>
      </w:r>
      <w:r w:rsidR="009C1707">
        <w:rPr>
          <w:bCs/>
        </w:rPr>
        <w:t>,</w:t>
      </w:r>
      <w:r>
        <w:rPr>
          <w:bCs/>
        </w:rPr>
        <w:t xml:space="preserve"> Rada Inwestycyjna wydaje opinie w</w:t>
      </w:r>
      <w:r w:rsidR="00E63C94">
        <w:rPr>
          <w:bCs/>
        </w:rPr>
        <w:t> </w:t>
      </w:r>
      <w:r>
        <w:rPr>
          <w:bCs/>
        </w:rPr>
        <w:t xml:space="preserve">formie </w:t>
      </w:r>
      <w:r w:rsidR="00E63C94">
        <w:rPr>
          <w:bCs/>
        </w:rPr>
        <w:t xml:space="preserve">oficjalnych </w:t>
      </w:r>
      <w:r>
        <w:rPr>
          <w:bCs/>
        </w:rPr>
        <w:t xml:space="preserve">pisemnych Rekomendacji </w:t>
      </w:r>
      <w:r w:rsidR="00751EC0">
        <w:rPr>
          <w:bCs/>
        </w:rPr>
        <w:t>po</w:t>
      </w:r>
      <w:r w:rsidR="00755C2F">
        <w:rPr>
          <w:bCs/>
        </w:rPr>
        <w:t xml:space="preserve">dpisanych przez Przewodniczącego lub Zastępcę Przewodniczącego, o których mowa w </w:t>
      </w:r>
      <w:r w:rsidR="00755C2F" w:rsidRPr="00E65348">
        <w:rPr>
          <w:bCs/>
        </w:rPr>
        <w:t>§</w:t>
      </w:r>
      <w:r w:rsidR="00755C2F">
        <w:rPr>
          <w:bCs/>
        </w:rPr>
        <w:t xml:space="preserve"> 4 ust. 8</w:t>
      </w:r>
      <w:r w:rsidR="00751EC0">
        <w:rPr>
          <w:bCs/>
        </w:rPr>
        <w:t>.</w:t>
      </w:r>
    </w:p>
    <w:p w14:paraId="483F1EFF" w14:textId="2C7C3776" w:rsidR="006C0355" w:rsidRPr="004235A1" w:rsidRDefault="007735A9" w:rsidP="00E65348">
      <w:pPr>
        <w:numPr>
          <w:ilvl w:val="0"/>
          <w:numId w:val="23"/>
        </w:numPr>
        <w:spacing w:line="360" w:lineRule="auto"/>
        <w:ind w:left="284" w:hanging="284"/>
        <w:jc w:val="both"/>
      </w:pPr>
      <w:r>
        <w:rPr>
          <w:bCs/>
        </w:rPr>
        <w:t xml:space="preserve">W pozostałych przypadkach niewymienionych w </w:t>
      </w:r>
      <w:r w:rsidR="009C1707" w:rsidRPr="00E65348">
        <w:rPr>
          <w:bCs/>
        </w:rPr>
        <w:t xml:space="preserve">§ </w:t>
      </w:r>
      <w:r w:rsidR="009C1707">
        <w:rPr>
          <w:bCs/>
        </w:rPr>
        <w:t xml:space="preserve">3 </w:t>
      </w:r>
      <w:r>
        <w:rPr>
          <w:bCs/>
        </w:rPr>
        <w:t xml:space="preserve">ust. </w:t>
      </w:r>
      <w:r w:rsidR="009C1707">
        <w:rPr>
          <w:bCs/>
        </w:rPr>
        <w:t>2</w:t>
      </w:r>
      <w:r>
        <w:rPr>
          <w:bCs/>
        </w:rPr>
        <w:t xml:space="preserve"> Rada Inwestycyjna wydaje opinie w formie oficjalnych pisemnych Rekomendacji podpisanych przez Przewodniczącego </w:t>
      </w:r>
      <w:r w:rsidR="00AF4165">
        <w:rPr>
          <w:bCs/>
        </w:rPr>
        <w:t xml:space="preserve">lub Zastępcę Przewodniczącego </w:t>
      </w:r>
      <w:r w:rsidR="00755C2F">
        <w:rPr>
          <w:bCs/>
        </w:rPr>
        <w:t>na wniosek Instytucji Z</w:t>
      </w:r>
      <w:r>
        <w:rPr>
          <w:bCs/>
        </w:rPr>
        <w:t>arządzającej.</w:t>
      </w:r>
    </w:p>
    <w:p w14:paraId="389507DC" w14:textId="77777777" w:rsidR="004235A1" w:rsidRDefault="004235A1" w:rsidP="00E65348">
      <w:pPr>
        <w:numPr>
          <w:ilvl w:val="0"/>
          <w:numId w:val="23"/>
        </w:numPr>
        <w:spacing w:line="360" w:lineRule="auto"/>
        <w:ind w:left="284" w:hanging="284"/>
        <w:jc w:val="both"/>
      </w:pPr>
      <w:r>
        <w:rPr>
          <w:bCs/>
        </w:rPr>
        <w:t xml:space="preserve">Rekomendacje, o których mowa w </w:t>
      </w:r>
      <w:r w:rsidRPr="00E65348">
        <w:rPr>
          <w:bCs/>
        </w:rPr>
        <w:t xml:space="preserve">§ </w:t>
      </w:r>
      <w:r>
        <w:rPr>
          <w:bCs/>
        </w:rPr>
        <w:t xml:space="preserve">3 ust 2 i 3 wydawane są większością głosów. W przypadku równej liczby głosów, decydujący głos ma Przewodniczący Rady Inwestycyjnej </w:t>
      </w:r>
      <w:r w:rsidR="009C1707">
        <w:rPr>
          <w:bCs/>
        </w:rPr>
        <w:t>bądź</w:t>
      </w:r>
      <w:r>
        <w:rPr>
          <w:bCs/>
        </w:rPr>
        <w:t xml:space="preserve"> w sytuacji jego nieobecności, Zastępca Przewodniczącego. </w:t>
      </w:r>
    </w:p>
    <w:p w14:paraId="485B59FD" w14:textId="77777777" w:rsidR="00E57369" w:rsidRDefault="00E57369" w:rsidP="00E65348">
      <w:pPr>
        <w:numPr>
          <w:ilvl w:val="0"/>
          <w:numId w:val="23"/>
        </w:numPr>
        <w:spacing w:line="360" w:lineRule="auto"/>
        <w:ind w:left="284" w:hanging="284"/>
        <w:jc w:val="both"/>
      </w:pPr>
      <w:r>
        <w:t xml:space="preserve">Mając na uwadze postanowienia </w:t>
      </w:r>
      <w:r w:rsidRPr="00E57369">
        <w:t>§</w:t>
      </w:r>
      <w:r w:rsidR="00751EC0">
        <w:t xml:space="preserve"> 3, ust. 2</w:t>
      </w:r>
      <w:r w:rsidR="004235A1">
        <w:t xml:space="preserve"> i 3</w:t>
      </w:r>
      <w:r w:rsidR="004F13B1">
        <w:t>,</w:t>
      </w:r>
      <w:r>
        <w:t xml:space="preserve"> Rekomendacje Rady Inwestycyjnej nie są wiążące dla Instytucji Zarządzającej i Menadżera.</w:t>
      </w:r>
    </w:p>
    <w:p w14:paraId="73981B4B" w14:textId="77777777" w:rsidR="00F5761C" w:rsidRDefault="00F5761C" w:rsidP="00C22CA2">
      <w:pPr>
        <w:autoSpaceDE w:val="0"/>
        <w:autoSpaceDN w:val="0"/>
        <w:adjustRightInd w:val="0"/>
        <w:spacing w:line="360" w:lineRule="auto"/>
      </w:pPr>
    </w:p>
    <w:p w14:paraId="2D5C0B07" w14:textId="77777777" w:rsidR="00A95C68" w:rsidRDefault="00A95C68" w:rsidP="00C22CA2">
      <w:pPr>
        <w:autoSpaceDE w:val="0"/>
        <w:autoSpaceDN w:val="0"/>
        <w:adjustRightInd w:val="0"/>
        <w:spacing w:line="360" w:lineRule="auto"/>
      </w:pPr>
    </w:p>
    <w:p w14:paraId="3F1FCBE8" w14:textId="77777777" w:rsidR="00A95C68" w:rsidRDefault="00A95C68" w:rsidP="00C22CA2">
      <w:pPr>
        <w:autoSpaceDE w:val="0"/>
        <w:autoSpaceDN w:val="0"/>
        <w:adjustRightInd w:val="0"/>
        <w:spacing w:line="360" w:lineRule="auto"/>
      </w:pPr>
    </w:p>
    <w:p w14:paraId="41DE5E3F" w14:textId="77777777" w:rsidR="00A95C68" w:rsidRDefault="00A95C68" w:rsidP="00C22CA2">
      <w:pPr>
        <w:autoSpaceDE w:val="0"/>
        <w:autoSpaceDN w:val="0"/>
        <w:adjustRightInd w:val="0"/>
        <w:spacing w:line="360" w:lineRule="auto"/>
      </w:pPr>
    </w:p>
    <w:p w14:paraId="0AD25DFF" w14:textId="77777777" w:rsidR="00A95C68" w:rsidRDefault="00A95C68" w:rsidP="00C22CA2">
      <w:pPr>
        <w:autoSpaceDE w:val="0"/>
        <w:autoSpaceDN w:val="0"/>
        <w:adjustRightInd w:val="0"/>
        <w:spacing w:line="360" w:lineRule="auto"/>
      </w:pPr>
    </w:p>
    <w:p w14:paraId="436CC193" w14:textId="77777777" w:rsidR="00A95C68" w:rsidRDefault="00A95C68" w:rsidP="00C22CA2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E4AF83F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D1907">
        <w:rPr>
          <w:b/>
          <w:bCs/>
        </w:rPr>
        <w:t>4</w:t>
      </w:r>
    </w:p>
    <w:p w14:paraId="5D226C8A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Organizacja Rady Inwestycyjnej</w:t>
      </w:r>
    </w:p>
    <w:p w14:paraId="0CAADA4E" w14:textId="77777777" w:rsidR="00454596" w:rsidRDefault="00454596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11859298" w14:textId="77777777" w:rsidR="00454596" w:rsidRDefault="00454596" w:rsidP="00E6534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Rada Inwestycyjna działa tylko w interesie Zachodniopomorskiego Funduszu Powierniczego</w:t>
      </w:r>
      <w:r w:rsidR="00397930">
        <w:t xml:space="preserve"> </w:t>
      </w:r>
      <w:r>
        <w:t>JEREMIE.</w:t>
      </w:r>
    </w:p>
    <w:p w14:paraId="4C5583CC" w14:textId="77777777" w:rsidR="00454596" w:rsidRDefault="00454596" w:rsidP="00E6534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 w:rsidRPr="00C51685">
        <w:rPr>
          <w:color w:val="000000"/>
        </w:rPr>
        <w:t xml:space="preserve">Rada Inwestycyjna składa się z 5 Członków </w:t>
      </w:r>
      <w:r w:rsidR="00F90C8D">
        <w:rPr>
          <w:color w:val="000000"/>
        </w:rPr>
        <w:t xml:space="preserve">będących ekspertami </w:t>
      </w:r>
      <w:r w:rsidR="00F90C8D">
        <w:t>w dziedzinie finansowania sektora mikro, małych i średnich przedsiębiorstw</w:t>
      </w:r>
      <w:r w:rsidR="00931B3F" w:rsidRPr="00931B3F">
        <w:t xml:space="preserve"> </w:t>
      </w:r>
      <w:r w:rsidR="00931B3F">
        <w:t>poprzez instrumenty inżynierii finansowej</w:t>
      </w:r>
      <w:r w:rsidR="00F958C7">
        <w:rPr>
          <w:color w:val="000000"/>
        </w:rPr>
        <w:t xml:space="preserve">, </w:t>
      </w:r>
      <w:r w:rsidR="00F90C8D">
        <w:rPr>
          <w:color w:val="000000"/>
        </w:rPr>
        <w:t>wybranych w drodze otwartego konkursu</w:t>
      </w:r>
      <w:r w:rsidR="00F958C7">
        <w:rPr>
          <w:color w:val="000000"/>
        </w:rPr>
        <w:t xml:space="preserve"> ogłoszonego przez </w:t>
      </w:r>
      <w:r w:rsidR="00F958C7" w:rsidRPr="00C51685">
        <w:rPr>
          <w:color w:val="000000"/>
        </w:rPr>
        <w:t>Instytucję Zarządzającą</w:t>
      </w:r>
      <w:r w:rsidR="00F958C7">
        <w:rPr>
          <w:color w:val="000000"/>
        </w:rPr>
        <w:t xml:space="preserve"> i</w:t>
      </w:r>
      <w:r w:rsidR="00E63C94">
        <w:rPr>
          <w:color w:val="000000"/>
        </w:rPr>
        <w:t> </w:t>
      </w:r>
      <w:r w:rsidR="00324255" w:rsidRPr="00C51685">
        <w:rPr>
          <w:color w:val="000000"/>
        </w:rPr>
        <w:t xml:space="preserve">niepowiązanych osobowo </w:t>
      </w:r>
      <w:r w:rsidR="00F958C7">
        <w:rPr>
          <w:color w:val="000000"/>
        </w:rPr>
        <w:t>oraz</w:t>
      </w:r>
      <w:r w:rsidR="00324255" w:rsidRPr="00C51685">
        <w:rPr>
          <w:color w:val="000000"/>
        </w:rPr>
        <w:t xml:space="preserve"> kapitałowo z Instytucją Zarządzającą, Menadżerem i Pośrednikami Finansowymi</w:t>
      </w:r>
      <w:r w:rsidR="007735A9">
        <w:rPr>
          <w:color w:val="000000"/>
        </w:rPr>
        <w:t xml:space="preserve"> </w:t>
      </w:r>
      <w:r w:rsidR="00B373F1">
        <w:rPr>
          <w:color w:val="000000"/>
        </w:rPr>
        <w:t xml:space="preserve">na dzień złożenia aplikacji z zastrzeżeniem zapisów </w:t>
      </w:r>
      <w:r w:rsidR="00B373F1" w:rsidRPr="00B373F1">
        <w:rPr>
          <w:bCs/>
        </w:rPr>
        <w:t>§</w:t>
      </w:r>
      <w:r w:rsidR="00B373F1">
        <w:rPr>
          <w:color w:val="000000"/>
        </w:rPr>
        <w:t xml:space="preserve"> 6 ust. </w:t>
      </w:r>
      <w:r w:rsidR="009C1707">
        <w:rPr>
          <w:color w:val="000000"/>
        </w:rPr>
        <w:t>5</w:t>
      </w:r>
      <w:r w:rsidR="00F958C7">
        <w:rPr>
          <w:color w:val="000000"/>
        </w:rPr>
        <w:t>.</w:t>
      </w:r>
    </w:p>
    <w:p w14:paraId="07ADF3E4" w14:textId="77777777" w:rsidR="00931B3F" w:rsidRDefault="00931B3F" w:rsidP="00E6534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Członkowie Rady Inwestycyjnej powoływani są przez Instytucję Zarządzającą w drodze uchwały.</w:t>
      </w:r>
    </w:p>
    <w:p w14:paraId="37722FF2" w14:textId="77777777" w:rsidR="007F0600" w:rsidRDefault="00AE7CB3" w:rsidP="009C170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Kadencja Członków jest</w:t>
      </w:r>
      <w:r w:rsidR="007F0600">
        <w:t xml:space="preserve"> kadencją wspólną i trwa 2 lata</w:t>
      </w:r>
      <w:r>
        <w:t xml:space="preserve"> z możliwością </w:t>
      </w:r>
      <w:r w:rsidR="008B2F7D">
        <w:t xml:space="preserve">reelekcji na zasadach określonych </w:t>
      </w:r>
      <w:r>
        <w:t xml:space="preserve">w </w:t>
      </w:r>
      <w:r w:rsidR="009C1707" w:rsidRPr="009C1707">
        <w:t>§</w:t>
      </w:r>
      <w:r w:rsidR="009C1707">
        <w:t xml:space="preserve"> 4 </w:t>
      </w:r>
      <w:r>
        <w:t>ust</w:t>
      </w:r>
      <w:r w:rsidR="007F0600">
        <w:t>.</w:t>
      </w:r>
      <w:r w:rsidR="009C1707">
        <w:t xml:space="preserve"> 2</w:t>
      </w:r>
      <w:r w:rsidR="00332561">
        <w:t xml:space="preserve">, </w:t>
      </w:r>
      <w:r w:rsidR="009C1707">
        <w:t xml:space="preserve">z zastrzeżeniem zapisów </w:t>
      </w:r>
      <w:r w:rsidR="009C1707" w:rsidRPr="009C1707">
        <w:t>§</w:t>
      </w:r>
      <w:r w:rsidR="009C1707">
        <w:t xml:space="preserve"> 4 </w:t>
      </w:r>
      <w:r w:rsidR="008B2F7D">
        <w:t xml:space="preserve">ust. </w:t>
      </w:r>
      <w:r w:rsidR="00E01F23">
        <w:t>6</w:t>
      </w:r>
      <w:r>
        <w:t xml:space="preserve">. </w:t>
      </w:r>
    </w:p>
    <w:p w14:paraId="32A620A5" w14:textId="77777777" w:rsidR="00332561" w:rsidRDefault="00E01F23" w:rsidP="00E6534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 xml:space="preserve">Członkostwo w Radzie Inwestycyjnej ulega wygaśnięciu </w:t>
      </w:r>
      <w:r w:rsidR="00332561">
        <w:t>w następujących przypadkach:</w:t>
      </w:r>
    </w:p>
    <w:p w14:paraId="2A3F2998" w14:textId="77777777" w:rsidR="00332561" w:rsidRDefault="00E01F23" w:rsidP="00E65348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>
        <w:t xml:space="preserve">wraz z upływem okresu kadencji, o </w:t>
      </w:r>
      <w:r w:rsidR="00332561">
        <w:t>którym mowa w ust. 4,</w:t>
      </w:r>
    </w:p>
    <w:p w14:paraId="542B62EA" w14:textId="77777777" w:rsidR="00E63C94" w:rsidRPr="00C51296" w:rsidRDefault="00E63C94" w:rsidP="00E65348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 w:rsidRPr="00C51296">
        <w:t xml:space="preserve">w sytuacji rozwiązania Rady Inwestycyjnej zgodnie z zapisami </w:t>
      </w:r>
      <w:r w:rsidRPr="00C51296">
        <w:rPr>
          <w:bCs/>
        </w:rPr>
        <w:t xml:space="preserve">§ 8 ust. </w:t>
      </w:r>
      <w:r w:rsidR="00212863">
        <w:rPr>
          <w:bCs/>
        </w:rPr>
        <w:t>5</w:t>
      </w:r>
      <w:r w:rsidRPr="00C51296">
        <w:rPr>
          <w:bCs/>
        </w:rPr>
        <w:t>,</w:t>
      </w:r>
    </w:p>
    <w:p w14:paraId="1F7E9BC7" w14:textId="77777777" w:rsidR="00332561" w:rsidRDefault="00E01F23" w:rsidP="00E65348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>
        <w:t>z powodu rezygnacji</w:t>
      </w:r>
      <w:r w:rsidR="00332561">
        <w:t xml:space="preserve"> Członka</w:t>
      </w:r>
      <w:r>
        <w:t xml:space="preserve">, </w:t>
      </w:r>
    </w:p>
    <w:p w14:paraId="572AE2EE" w14:textId="77777777" w:rsidR="00332561" w:rsidRDefault="00E01F23" w:rsidP="00E65348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>
        <w:t xml:space="preserve">odwołania </w:t>
      </w:r>
      <w:r w:rsidR="00332561">
        <w:t>Członka ze składu Rady Inwestycyjnej,</w:t>
      </w:r>
    </w:p>
    <w:p w14:paraId="2350A2CC" w14:textId="77777777" w:rsidR="00E01F23" w:rsidRDefault="00E01F23" w:rsidP="00E65348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</w:pPr>
      <w:r>
        <w:t>śmierci Członka Rady</w:t>
      </w:r>
      <w:r w:rsidR="00C15766">
        <w:t xml:space="preserve"> Inwestycyjnej</w:t>
      </w:r>
      <w:r>
        <w:t>.</w:t>
      </w:r>
    </w:p>
    <w:p w14:paraId="678239E2" w14:textId="77777777" w:rsidR="00AE7CB3" w:rsidRDefault="00332561" w:rsidP="00E6534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 xml:space="preserve">W przypadku zaistnienia </w:t>
      </w:r>
      <w:r w:rsidR="00212863">
        <w:t xml:space="preserve">sytuacji określonych w </w:t>
      </w:r>
      <w:r w:rsidR="00212863" w:rsidRPr="009C1707">
        <w:t>§</w:t>
      </w:r>
      <w:r w:rsidR="00212863">
        <w:t xml:space="preserve"> 4 </w:t>
      </w:r>
      <w:r>
        <w:t xml:space="preserve">ust 5. </w:t>
      </w:r>
      <w:r w:rsidR="00C15766">
        <w:t>li</w:t>
      </w:r>
      <w:r w:rsidR="00E63C94">
        <w:t>t. c, lit. d</w:t>
      </w:r>
      <w:r w:rsidR="00C15766">
        <w:t xml:space="preserve"> i lit. </w:t>
      </w:r>
      <w:r w:rsidR="00E63C94">
        <w:t>e</w:t>
      </w:r>
      <w:r w:rsidR="00C15766">
        <w:t xml:space="preserve">, </w:t>
      </w:r>
      <w:r w:rsidR="00AE7CB3">
        <w:t xml:space="preserve">Instytucja Zarządzająca </w:t>
      </w:r>
      <w:r w:rsidR="008B2F7D">
        <w:t>desygnuje</w:t>
      </w:r>
      <w:r w:rsidR="00AE7CB3">
        <w:t xml:space="preserve"> niezwłocznie nowego Członka na pozostały czas kadencji</w:t>
      </w:r>
      <w:r w:rsidR="00C15766">
        <w:t xml:space="preserve"> </w:t>
      </w:r>
      <w:r w:rsidR="00C74F79">
        <w:t xml:space="preserve">Rady Inwestycyjnej, </w:t>
      </w:r>
      <w:r w:rsidR="00C15766">
        <w:t>z</w:t>
      </w:r>
      <w:r w:rsidR="00C13DD0">
        <w:t> </w:t>
      </w:r>
      <w:r w:rsidR="00C15766">
        <w:t xml:space="preserve">uwzględnieniem </w:t>
      </w:r>
      <w:r w:rsidR="00212863" w:rsidRPr="009C1707">
        <w:t>§</w:t>
      </w:r>
      <w:r w:rsidR="00212863">
        <w:t xml:space="preserve"> 4 </w:t>
      </w:r>
      <w:r w:rsidR="00C15766">
        <w:t>ust. 3</w:t>
      </w:r>
      <w:r w:rsidR="00AE7CB3">
        <w:t>.</w:t>
      </w:r>
    </w:p>
    <w:p w14:paraId="09F381C6" w14:textId="77777777" w:rsidR="00C15766" w:rsidRPr="00E65348" w:rsidRDefault="00C15766" w:rsidP="00E63C9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Odwołanie Członka ze składu Rady Inwestycyjnej</w:t>
      </w:r>
      <w:r w:rsidR="00E63C94">
        <w:t>, o którym mowa w ust. 5 lit. d</w:t>
      </w:r>
      <w:r w:rsidR="00C74F79">
        <w:t>,</w:t>
      </w:r>
      <w:r>
        <w:t xml:space="preserve"> </w:t>
      </w:r>
      <w:r w:rsidR="00C74F79">
        <w:t xml:space="preserve">dokonywane jest przez Instytucję Zarządzającą i </w:t>
      </w:r>
      <w:r>
        <w:t xml:space="preserve">następuje w przypadku rażącego naruszenia przez Członka postanowień Regulaminu lub Kodeksu Postępowania, o którym mowa </w:t>
      </w:r>
      <w:r w:rsidR="00025FDA" w:rsidRPr="00E65348">
        <w:t>w § 8</w:t>
      </w:r>
      <w:r w:rsidRPr="00E65348">
        <w:t xml:space="preserve"> ust.1 Regulaminu.</w:t>
      </w:r>
    </w:p>
    <w:p w14:paraId="5DC64745" w14:textId="77777777" w:rsidR="00454596" w:rsidRDefault="00454596" w:rsidP="00E65348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Na pierwszym posiedzeniu Rady Inwestycyjnej Członkowie wybierają Przewodniczącego Rady</w:t>
      </w:r>
      <w:r w:rsidR="00397930">
        <w:t xml:space="preserve"> </w:t>
      </w:r>
      <w:r>
        <w:t xml:space="preserve">Inwestycyjnej, zwanego dalej Przewodniczącym </w:t>
      </w:r>
      <w:r w:rsidRPr="00751EC0">
        <w:t>oraz Zastępcę Przewodniczącego</w:t>
      </w:r>
      <w:r>
        <w:t>.</w:t>
      </w:r>
      <w:r w:rsidR="00AE7CB3">
        <w:t xml:space="preserve"> </w:t>
      </w:r>
    </w:p>
    <w:p w14:paraId="1AA900B4" w14:textId="77777777" w:rsidR="00E63C94" w:rsidRDefault="00C74F79" w:rsidP="00E63C9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C74F79">
        <w:t>Członkom Rady Inwestycyjnej przysługuje wynagrodzenie z tytułu pełnienia fun</w:t>
      </w:r>
      <w:r>
        <w:t>kcji Członka Rady Inwestycyjnej, którego z</w:t>
      </w:r>
      <w:r w:rsidRPr="00C74F79">
        <w:t xml:space="preserve">asady i tryb określa </w:t>
      </w:r>
      <w:r>
        <w:t xml:space="preserve">szczegółowo </w:t>
      </w:r>
      <w:r w:rsidRPr="00C74F79">
        <w:t>Umowa o zasadach wynagradzania Członków Rady Inwestycyjnej</w:t>
      </w:r>
      <w:r w:rsidR="00E63C94">
        <w:t>.</w:t>
      </w:r>
    </w:p>
    <w:p w14:paraId="608CBCAD" w14:textId="25424AFE" w:rsidR="00613898" w:rsidRDefault="00AE7CB3" w:rsidP="000952C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I</w:t>
      </w:r>
      <w:r w:rsidR="00454596">
        <w:t xml:space="preserve">nstytucja Zarządzająca oraz </w:t>
      </w:r>
      <w:r w:rsidR="009338EB">
        <w:t>Menadżer</w:t>
      </w:r>
      <w:r w:rsidR="00454596">
        <w:t xml:space="preserve"> mają prawo</w:t>
      </w:r>
      <w:r w:rsidR="000952CC">
        <w:t xml:space="preserve"> zaprosić do udziału w posiedzeniach Rady Inwestycyjnej swoich przedstawicieli</w:t>
      </w:r>
      <w:r w:rsidR="00613898">
        <w:t xml:space="preserve">, z zastrzeżeniem, że nie będą oni </w:t>
      </w:r>
      <w:r w:rsidR="00755C2F">
        <w:t>pełnić</w:t>
      </w:r>
      <w:r w:rsidR="00613898">
        <w:t xml:space="preserve"> funkcji Członków Rady Inwestycyjnej</w:t>
      </w:r>
      <w:r w:rsidR="00FD5704">
        <w:t>.</w:t>
      </w:r>
    </w:p>
    <w:p w14:paraId="122F1709" w14:textId="77777777" w:rsidR="00C74F79" w:rsidRDefault="00613898" w:rsidP="000952CC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Instytucja Zarządzająca, Menadżer oraz Przewodniczący mają prawo zaprosić do udziału w</w:t>
      </w:r>
      <w:r w:rsidR="00674591">
        <w:t> </w:t>
      </w:r>
      <w:r>
        <w:t xml:space="preserve">posiedzeniach Rady Inwestycyjnej na zasadach </w:t>
      </w:r>
      <w:r w:rsidR="00755C2F">
        <w:t xml:space="preserve">doraźnych </w:t>
      </w:r>
      <w:r w:rsidR="000952CC">
        <w:t>innych uczes</w:t>
      </w:r>
      <w:r w:rsidR="00674591">
        <w:t>tników niezwiązanych z Instytucją Zarządzającą i Menadżerem</w:t>
      </w:r>
      <w:r w:rsidR="000952CC">
        <w:t>, gdy uznają uczestnictwo takich osób za pożądane z</w:t>
      </w:r>
      <w:r w:rsidR="00674591">
        <w:t> </w:t>
      </w:r>
      <w:r w:rsidR="000952CC">
        <w:t>uwagi na porządek obrad Rady Inwestycyjnej.</w:t>
      </w:r>
    </w:p>
    <w:p w14:paraId="3393741C" w14:textId="77777777" w:rsidR="000952CC" w:rsidRDefault="000952CC" w:rsidP="000952CC">
      <w:pPr>
        <w:autoSpaceDE w:val="0"/>
        <w:autoSpaceDN w:val="0"/>
        <w:adjustRightInd w:val="0"/>
        <w:spacing w:line="360" w:lineRule="auto"/>
        <w:ind w:left="284"/>
        <w:jc w:val="both"/>
      </w:pPr>
    </w:p>
    <w:p w14:paraId="3ADA26B8" w14:textId="77777777" w:rsidR="000952CC" w:rsidRPr="000952CC" w:rsidRDefault="000952CC" w:rsidP="00C22CA2">
      <w:pPr>
        <w:autoSpaceDE w:val="0"/>
        <w:autoSpaceDN w:val="0"/>
        <w:adjustRightInd w:val="0"/>
        <w:spacing w:line="360" w:lineRule="auto"/>
        <w:jc w:val="both"/>
      </w:pPr>
    </w:p>
    <w:p w14:paraId="5E0C44CC" w14:textId="77777777" w:rsidR="00A95C68" w:rsidRDefault="00A95C68" w:rsidP="00E6534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17B82BCA" w14:textId="77777777" w:rsidR="00C74F79" w:rsidRDefault="00C74F79" w:rsidP="00E6534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§5</w:t>
      </w:r>
    </w:p>
    <w:p w14:paraId="0F74AA85" w14:textId="77777777" w:rsidR="00C74F79" w:rsidRDefault="00C74F79" w:rsidP="00E6534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Obsługa prac Rady Inwestycyjnej</w:t>
      </w:r>
    </w:p>
    <w:p w14:paraId="09BE6465" w14:textId="77777777" w:rsidR="00C74F79" w:rsidRDefault="00C74F79" w:rsidP="00E65348">
      <w:pPr>
        <w:autoSpaceDE w:val="0"/>
        <w:autoSpaceDN w:val="0"/>
        <w:adjustRightInd w:val="0"/>
        <w:spacing w:line="360" w:lineRule="auto"/>
        <w:jc w:val="center"/>
      </w:pPr>
    </w:p>
    <w:p w14:paraId="681E3362" w14:textId="77777777" w:rsidR="00212863" w:rsidRDefault="007C76C6" w:rsidP="00E65348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Za obsługę organizacyjną i techniczną Rady Inwestycyjnej odpowiedzialny jest Sekretariat Rady Inwestycyjnej</w:t>
      </w:r>
      <w:r w:rsidR="00C74F79">
        <w:t>, zwany dalej Sekretariatem,</w:t>
      </w:r>
      <w:r>
        <w:t xml:space="preserve"> </w:t>
      </w:r>
      <w:r w:rsidR="00C74F79">
        <w:t xml:space="preserve">w </w:t>
      </w:r>
      <w:r>
        <w:t xml:space="preserve">skład </w:t>
      </w:r>
      <w:r w:rsidR="00C74F79">
        <w:t xml:space="preserve">którego </w:t>
      </w:r>
      <w:r>
        <w:t xml:space="preserve">wchodzą pracownicy Biura ds. Inicjatyw </w:t>
      </w:r>
    </w:p>
    <w:p w14:paraId="238F4830" w14:textId="77777777" w:rsidR="00C74F79" w:rsidRDefault="007C76C6" w:rsidP="00FD5704">
      <w:pPr>
        <w:autoSpaceDE w:val="0"/>
        <w:autoSpaceDN w:val="0"/>
        <w:adjustRightInd w:val="0"/>
        <w:spacing w:line="360" w:lineRule="auto"/>
        <w:jc w:val="both"/>
      </w:pPr>
      <w:r>
        <w:t xml:space="preserve">Wspólnotowych i Monitoringu w Wydziale Zarządzania </w:t>
      </w:r>
      <w:r w:rsidR="00C74F79">
        <w:t>Strategicznego Urzędu Marszałkowskiego Województwa Zachodniopomorskiego będący przedstawi</w:t>
      </w:r>
      <w:r w:rsidR="00C13DD0">
        <w:t>cielami</w:t>
      </w:r>
      <w:r>
        <w:t xml:space="preserve"> </w:t>
      </w:r>
      <w:r w:rsidR="00C13DD0">
        <w:t>Instytucji Zarządzającej</w:t>
      </w:r>
      <w:r>
        <w:t>.</w:t>
      </w:r>
    </w:p>
    <w:p w14:paraId="4AD12F61" w14:textId="77777777" w:rsidR="007C76C6" w:rsidRDefault="007C76C6" w:rsidP="00E65348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Do obowiązków pracowników Sekretariatu należy w szczególności:</w:t>
      </w:r>
    </w:p>
    <w:p w14:paraId="56138330" w14:textId="77777777" w:rsidR="007C76C6" w:rsidRDefault="007C76C6" w:rsidP="00E65348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>przygotow</w:t>
      </w:r>
      <w:r w:rsidR="00C74F79">
        <w:t>yw</w:t>
      </w:r>
      <w:r>
        <w:t>anie i organizacja posiedzeń Rady Inwestycyjnej,</w:t>
      </w:r>
    </w:p>
    <w:p w14:paraId="459CB84E" w14:textId="77777777" w:rsidR="007C76C6" w:rsidRDefault="007C76C6" w:rsidP="00E65348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 xml:space="preserve">dostarczenie </w:t>
      </w:r>
      <w:r w:rsidR="00C74F79">
        <w:t>Członkom Rady Inwestycyjnej</w:t>
      </w:r>
      <w:r w:rsidR="00017CF6">
        <w:t xml:space="preserve"> </w:t>
      </w:r>
      <w:r>
        <w:t>materiałów i projektów dokumentów, przeznaczonych do zaopiniowania</w:t>
      </w:r>
      <w:r w:rsidR="0067226B">
        <w:t xml:space="preserve"> i/lub</w:t>
      </w:r>
      <w:r w:rsidR="00C13DD0">
        <w:t xml:space="preserve"> R</w:t>
      </w:r>
      <w:r w:rsidR="0067226B">
        <w:t>ekomendacji</w:t>
      </w:r>
      <w:r>
        <w:t>,</w:t>
      </w:r>
    </w:p>
    <w:p w14:paraId="28576972" w14:textId="77777777" w:rsidR="007C76C6" w:rsidRDefault="007C76C6" w:rsidP="00E65348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>sporządzanie protokołów z posiedzeń Rady Inwestycyjnej,</w:t>
      </w:r>
      <w:r w:rsidR="0067226B">
        <w:t xml:space="preserve"> </w:t>
      </w:r>
    </w:p>
    <w:p w14:paraId="3C74FD7A" w14:textId="77777777" w:rsidR="007C76C6" w:rsidRDefault="007C76C6" w:rsidP="00E65348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 xml:space="preserve">gromadzenie, przechowywanie i archiwizowanie dokumentacji związanej z posiedzeniami </w:t>
      </w:r>
      <w:r w:rsidR="0067226B">
        <w:t>i</w:t>
      </w:r>
      <w:r w:rsidR="00C13DD0">
        <w:t> </w:t>
      </w:r>
      <w:r w:rsidR="0067226B">
        <w:t xml:space="preserve">rekomendacjami </w:t>
      </w:r>
      <w:r>
        <w:t>Rady Inwestycyjnej,</w:t>
      </w:r>
    </w:p>
    <w:p w14:paraId="6F2CFA99" w14:textId="77777777" w:rsidR="00FF79C1" w:rsidRDefault="007C76C6" w:rsidP="00E65348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</w:pPr>
      <w:r>
        <w:t>wykonywanie innych prac związanych z prawidłow</w:t>
      </w:r>
      <w:r w:rsidR="00017CF6">
        <w:t>ym funkcjonowaniem</w:t>
      </w:r>
      <w:r>
        <w:t xml:space="preserve"> Rady Inwestycyjnej.</w:t>
      </w:r>
    </w:p>
    <w:p w14:paraId="2B96B226" w14:textId="77777777" w:rsidR="00E65348" w:rsidRDefault="00E65348" w:rsidP="00212863">
      <w:pPr>
        <w:autoSpaceDE w:val="0"/>
        <w:autoSpaceDN w:val="0"/>
        <w:adjustRightInd w:val="0"/>
        <w:spacing w:line="360" w:lineRule="auto"/>
      </w:pPr>
    </w:p>
    <w:p w14:paraId="4F3D2B4E" w14:textId="77777777" w:rsidR="00454596" w:rsidRDefault="00454596" w:rsidP="00FF79C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7C0AE9">
        <w:rPr>
          <w:b/>
          <w:bCs/>
        </w:rPr>
        <w:t>6</w:t>
      </w:r>
    </w:p>
    <w:p w14:paraId="78B31E75" w14:textId="77777777" w:rsidR="00454596" w:rsidRDefault="00454596" w:rsidP="00FF79C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Posiedzenia Rady Inwestycyjnej</w:t>
      </w:r>
    </w:p>
    <w:p w14:paraId="0AA46784" w14:textId="77777777" w:rsidR="00454596" w:rsidRDefault="00454596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6023F3EA" w14:textId="77777777" w:rsidR="00454596" w:rsidRDefault="00751EC0" w:rsidP="00E6534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P</w:t>
      </w:r>
      <w:r w:rsidR="00454596">
        <w:t>osiedzenia Rady Inwestycyjn</w:t>
      </w:r>
      <w:r w:rsidR="009338EB">
        <w:t xml:space="preserve">ej </w:t>
      </w:r>
      <w:r w:rsidR="00C54218">
        <w:t>zwoływane są przez przedstawiciela Instytucji Zarządzającej.</w:t>
      </w:r>
    </w:p>
    <w:p w14:paraId="5E51445A" w14:textId="71C102B0" w:rsidR="00831A96" w:rsidRDefault="00C54218" w:rsidP="00E6534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 xml:space="preserve">Wszyscy </w:t>
      </w:r>
      <w:r w:rsidR="00831A96">
        <w:t>Członk</w:t>
      </w:r>
      <w:r>
        <w:t>owie</w:t>
      </w:r>
      <w:r w:rsidR="00831A96">
        <w:t xml:space="preserve"> Rady</w:t>
      </w:r>
      <w:r>
        <w:t xml:space="preserve"> Inwestycyjnej muszą być powiadomieni</w:t>
      </w:r>
      <w:r w:rsidR="00212863">
        <w:t xml:space="preserve"> o posiedzeniu, o którym mowa w </w:t>
      </w:r>
      <w:r w:rsidR="00212863" w:rsidRPr="009C1707">
        <w:t>§</w:t>
      </w:r>
      <w:r w:rsidR="00212863">
        <w:t xml:space="preserve"> 6 </w:t>
      </w:r>
      <w:r>
        <w:t>ust. 1, za po</w:t>
      </w:r>
      <w:r w:rsidR="00017CF6">
        <w:t xml:space="preserve">średnictwem </w:t>
      </w:r>
      <w:r>
        <w:t>faksu bądź poczty elektr</w:t>
      </w:r>
      <w:r w:rsidR="00017CF6">
        <w:t>onicznej</w:t>
      </w:r>
      <w:r>
        <w:t xml:space="preserve">, </w:t>
      </w:r>
      <w:r w:rsidR="00831A96">
        <w:t>nie później ni</w:t>
      </w:r>
      <w:r w:rsidR="009B7AD9">
        <w:t>ż</w:t>
      </w:r>
      <w:r w:rsidR="00831A96">
        <w:t xml:space="preserve"> 5</w:t>
      </w:r>
      <w:r w:rsidR="00F5761C">
        <w:t> </w:t>
      </w:r>
      <w:r w:rsidR="00831A96">
        <w:t>dni roboczych przed zaplanowanym terminem posiedzenia.</w:t>
      </w:r>
    </w:p>
    <w:p w14:paraId="6EB8238F" w14:textId="77777777" w:rsidR="00831A96" w:rsidRDefault="007C0AE9" w:rsidP="005F30B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Po</w:t>
      </w:r>
      <w:r w:rsidR="00212863">
        <w:t xml:space="preserve">wiadomienie, o którym mowa w </w:t>
      </w:r>
      <w:r w:rsidR="00212863" w:rsidRPr="009C1707">
        <w:t>§</w:t>
      </w:r>
      <w:r w:rsidR="00212863">
        <w:t xml:space="preserve"> 6 </w:t>
      </w:r>
      <w:r w:rsidR="00831A96">
        <w:t xml:space="preserve">ust. </w:t>
      </w:r>
      <w:r>
        <w:t>2</w:t>
      </w:r>
      <w:r w:rsidR="00831A96">
        <w:t xml:space="preserve"> powinno zawierać </w:t>
      </w:r>
      <w:r>
        <w:t xml:space="preserve">co najmniej </w:t>
      </w:r>
      <w:r w:rsidR="00831A96">
        <w:t>datę</w:t>
      </w:r>
      <w:r>
        <w:t xml:space="preserve">, </w:t>
      </w:r>
      <w:r w:rsidR="00831A96">
        <w:t>godzinę</w:t>
      </w:r>
      <w:r>
        <w:t xml:space="preserve"> oraz </w:t>
      </w:r>
      <w:r w:rsidR="00831A96">
        <w:t xml:space="preserve"> miejsce zaplanowanego posiedzenia.</w:t>
      </w:r>
    </w:p>
    <w:p w14:paraId="29391040" w14:textId="77777777" w:rsidR="00722FF6" w:rsidRDefault="00722FF6" w:rsidP="00E6534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W trakcie posiedzenia Rady Inwestycyjnej P</w:t>
      </w:r>
      <w:r w:rsidR="00212863">
        <w:t>rzewodniczący</w:t>
      </w:r>
      <w:r>
        <w:t xml:space="preserve"> ma prawo do otwierania i moderowania dyskusji na temat każdego z punktów porządku obrad z możliwością dodawania nowych punktów po uprzednim uzyskaniu zgody wszystkich obecnych na posiedzeniu Członków Rady Inwestycyjnej.</w:t>
      </w:r>
    </w:p>
    <w:p w14:paraId="0D311EED" w14:textId="7464FBFD" w:rsidR="00E65348" w:rsidRDefault="00454596" w:rsidP="00E65348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 xml:space="preserve">Członkowie Rady </w:t>
      </w:r>
      <w:r w:rsidR="00E65348">
        <w:t>Inwestycyjnej,</w:t>
      </w:r>
      <w:r w:rsidR="00FA0C8D">
        <w:t xml:space="preserve"> z własnej inicjatywy bądź na wniosek upow</w:t>
      </w:r>
      <w:r w:rsidR="00212863">
        <w:t xml:space="preserve">ażnionej osoby reprezentującej </w:t>
      </w:r>
      <w:r w:rsidR="00674591">
        <w:t>Instytucję Zarządzającą lub Menadżera</w:t>
      </w:r>
      <w:r w:rsidR="00FA0C8D">
        <w:t>, mają obowiązek wyłączenia się z</w:t>
      </w:r>
      <w:r w:rsidR="00674591">
        <w:t> </w:t>
      </w:r>
      <w:r w:rsidR="00FA0C8D">
        <w:t>posiedzeń Rady i procesu opiniowania oraz rekomendowania, o</w:t>
      </w:r>
      <w:r w:rsidR="00C13DD0">
        <w:t> </w:t>
      </w:r>
      <w:r w:rsidR="00FA0C8D">
        <w:t xml:space="preserve">którym mowa w </w:t>
      </w:r>
      <w:r w:rsidR="00FA0C8D" w:rsidRPr="00FA0C8D">
        <w:t>§ 3</w:t>
      </w:r>
      <w:r w:rsidR="00212863">
        <w:t xml:space="preserve"> ust. 1, ust. 2</w:t>
      </w:r>
      <w:r w:rsidR="00674591">
        <w:t> </w:t>
      </w:r>
      <w:r w:rsidR="00212863">
        <w:t>i ust. 3</w:t>
      </w:r>
      <w:r w:rsidR="00FA0C8D">
        <w:t>, w przypadku potencjalnego zaistnienia konfliktu interesów</w:t>
      </w:r>
      <w:r>
        <w:t xml:space="preserve">. </w:t>
      </w:r>
    </w:p>
    <w:p w14:paraId="307C1C00" w14:textId="77777777" w:rsidR="00212863" w:rsidRDefault="00831A96" w:rsidP="00674591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 xml:space="preserve">Z każdego posiedzenia Rady Inwestycyjnej </w:t>
      </w:r>
      <w:r w:rsidR="00AD5153">
        <w:t xml:space="preserve">przedstawiciel Sekretariatu, o którym mowa w </w:t>
      </w:r>
      <w:r w:rsidR="00AD5153" w:rsidRPr="00AD5153">
        <w:t>§</w:t>
      </w:r>
      <w:r w:rsidR="00C13DD0">
        <w:t xml:space="preserve"> </w:t>
      </w:r>
      <w:r w:rsidR="00AD5153" w:rsidRPr="00AD5153">
        <w:t>5</w:t>
      </w:r>
      <w:r w:rsidR="004E27B9">
        <w:t xml:space="preserve"> ust</w:t>
      </w:r>
      <w:r w:rsidR="00C13DD0">
        <w:t>.</w:t>
      </w:r>
      <w:r w:rsidR="00212863">
        <w:t xml:space="preserve"> 1</w:t>
      </w:r>
      <w:r w:rsidR="00AD5153">
        <w:t xml:space="preserve">, sporządzi </w:t>
      </w:r>
      <w:r>
        <w:t>protokół</w:t>
      </w:r>
      <w:r w:rsidR="00AD5153">
        <w:t xml:space="preserve"> </w:t>
      </w:r>
      <w:r w:rsidR="004235A1">
        <w:t xml:space="preserve">z posiedzenia </w:t>
      </w:r>
      <w:r w:rsidR="00AD5153">
        <w:t xml:space="preserve">Rady Inwestycyjnej, zawierający </w:t>
      </w:r>
      <w:r>
        <w:t>informacje o terminie, miejscu i uczestnikach posiedzenia</w:t>
      </w:r>
      <w:r w:rsidR="00AD5153">
        <w:t xml:space="preserve"> a</w:t>
      </w:r>
      <w:r w:rsidR="00C13DD0">
        <w:t> </w:t>
      </w:r>
      <w:r w:rsidR="00AD5153">
        <w:t xml:space="preserve">także głównych </w:t>
      </w:r>
      <w:r w:rsidR="00024285">
        <w:t xml:space="preserve">ustaleniach </w:t>
      </w:r>
      <w:r>
        <w:t xml:space="preserve">oraz </w:t>
      </w:r>
      <w:r w:rsidR="00AD5153">
        <w:t>wydanych opiniach i</w:t>
      </w:r>
      <w:r w:rsidR="00212863">
        <w:t> </w:t>
      </w:r>
      <w:r w:rsidR="00AD5153">
        <w:t>Rekomendacjach</w:t>
      </w:r>
      <w:r>
        <w:t>.</w:t>
      </w:r>
      <w:r w:rsidR="00AD5153">
        <w:t xml:space="preserve"> </w:t>
      </w:r>
      <w:r>
        <w:t>Protokół jest podpisywany przez Przewodniczącego lub jego Zastępcę. Protokoły z posiedzeń Rady Inwestycyjnej są przechowywane w Sekretariacie Rady</w:t>
      </w:r>
      <w:r w:rsidR="00C13DD0">
        <w:t xml:space="preserve"> Inwestycyjnej</w:t>
      </w:r>
      <w:r w:rsidRPr="00E65348">
        <w:t>.</w:t>
      </w:r>
    </w:p>
    <w:p w14:paraId="244B04CB" w14:textId="77777777" w:rsidR="00F5761C" w:rsidRPr="00F5761C" w:rsidRDefault="00F5761C" w:rsidP="00F5761C">
      <w:pPr>
        <w:autoSpaceDE w:val="0"/>
        <w:autoSpaceDN w:val="0"/>
        <w:adjustRightInd w:val="0"/>
        <w:spacing w:line="360" w:lineRule="auto"/>
        <w:jc w:val="both"/>
      </w:pPr>
    </w:p>
    <w:p w14:paraId="253F64CA" w14:textId="77777777" w:rsidR="00C22CA2" w:rsidRDefault="00C22CA2" w:rsidP="00FF79C1">
      <w:pPr>
        <w:autoSpaceDE w:val="0"/>
        <w:autoSpaceDN w:val="0"/>
        <w:adjustRightInd w:val="0"/>
        <w:jc w:val="center"/>
        <w:rPr>
          <w:b/>
          <w:bCs/>
        </w:rPr>
      </w:pPr>
    </w:p>
    <w:p w14:paraId="6D039C96" w14:textId="77777777" w:rsidR="00AD5153" w:rsidRDefault="009B7AD9" w:rsidP="00FF79C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D5153">
        <w:rPr>
          <w:b/>
          <w:bCs/>
        </w:rPr>
        <w:t>7</w:t>
      </w:r>
    </w:p>
    <w:p w14:paraId="3E9B1337" w14:textId="77777777" w:rsidR="00AD5153" w:rsidRDefault="00AD5153" w:rsidP="00FF79C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Tryb obiegowy prac Rady Inwestycyjnej</w:t>
      </w:r>
    </w:p>
    <w:p w14:paraId="5E3CEE09" w14:textId="77777777" w:rsidR="00AD5153" w:rsidRDefault="00AD5153" w:rsidP="00E65348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6284ACEE" w14:textId="77777777" w:rsidR="004E27B9" w:rsidRPr="00E65348" w:rsidRDefault="00305166" w:rsidP="00E65348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bCs/>
          <w:u w:val="single"/>
        </w:rPr>
      </w:pPr>
      <w:r w:rsidRPr="00E65348">
        <w:rPr>
          <w:bCs/>
        </w:rPr>
        <w:t>Wykonując swoje obowiązki określone w § 3 ust. 1</w:t>
      </w:r>
      <w:r w:rsidR="004E27B9" w:rsidRPr="00E65348">
        <w:rPr>
          <w:bCs/>
        </w:rPr>
        <w:t xml:space="preserve"> i 2</w:t>
      </w:r>
      <w:r w:rsidR="002D49AB">
        <w:rPr>
          <w:bCs/>
        </w:rPr>
        <w:t xml:space="preserve"> i 3</w:t>
      </w:r>
      <w:r w:rsidRPr="00E65348">
        <w:rPr>
          <w:bCs/>
        </w:rPr>
        <w:t>, z inicjatywy Instytucji Zarządzającej i</w:t>
      </w:r>
      <w:r w:rsidR="00C51296">
        <w:rPr>
          <w:bCs/>
        </w:rPr>
        <w:t> </w:t>
      </w:r>
      <w:r w:rsidRPr="00E65348">
        <w:rPr>
          <w:bCs/>
        </w:rPr>
        <w:t>w</w:t>
      </w:r>
      <w:r w:rsidR="00C51296">
        <w:rPr>
          <w:bCs/>
        </w:rPr>
        <w:t> </w:t>
      </w:r>
      <w:r w:rsidRPr="00E65348">
        <w:rPr>
          <w:bCs/>
        </w:rPr>
        <w:t xml:space="preserve">terminie przez nią wskazanym, </w:t>
      </w:r>
      <w:r w:rsidR="00BC6606" w:rsidRPr="00E65348">
        <w:rPr>
          <w:bCs/>
        </w:rPr>
        <w:t>Rada Inwestycyjna</w:t>
      </w:r>
      <w:r w:rsidR="00BC6606">
        <w:rPr>
          <w:bCs/>
        </w:rPr>
        <w:t xml:space="preserve"> </w:t>
      </w:r>
      <w:r>
        <w:rPr>
          <w:bCs/>
        </w:rPr>
        <w:t>może zastosować tryb obiegowy.</w:t>
      </w:r>
    </w:p>
    <w:p w14:paraId="16EB0240" w14:textId="77777777" w:rsidR="004E27B9" w:rsidRDefault="004E27B9" w:rsidP="00E65348">
      <w:pPr>
        <w:autoSpaceDE w:val="0"/>
        <w:autoSpaceDN w:val="0"/>
        <w:adjustRightInd w:val="0"/>
        <w:spacing w:line="360" w:lineRule="auto"/>
        <w:ind w:left="284"/>
        <w:jc w:val="both"/>
        <w:rPr>
          <w:bCs/>
          <w:u w:val="single"/>
        </w:rPr>
      </w:pPr>
    </w:p>
    <w:p w14:paraId="50C21848" w14:textId="77777777" w:rsidR="004E27B9" w:rsidRPr="00E65348" w:rsidRDefault="004E27B9" w:rsidP="00E65348">
      <w:pPr>
        <w:autoSpaceDE w:val="0"/>
        <w:autoSpaceDN w:val="0"/>
        <w:adjustRightInd w:val="0"/>
        <w:spacing w:line="360" w:lineRule="auto"/>
        <w:ind w:left="284"/>
        <w:jc w:val="center"/>
        <w:rPr>
          <w:bCs/>
          <w:u w:val="single"/>
        </w:rPr>
      </w:pPr>
      <w:r>
        <w:rPr>
          <w:b/>
          <w:bCs/>
        </w:rPr>
        <w:t>§ 8</w:t>
      </w:r>
    </w:p>
    <w:p w14:paraId="412A637D" w14:textId="77777777" w:rsidR="009B7AD9" w:rsidRDefault="009B7AD9" w:rsidP="00FF79C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Postanowienia ko</w:t>
      </w:r>
      <w:r>
        <w:rPr>
          <w:rFonts w:ascii="Arial,Bold" w:eastAsia="Arial,Bold" w:cs="Arial,Bold" w:hint="eastAsia"/>
          <w:b/>
          <w:bCs/>
        </w:rPr>
        <w:t>ń</w:t>
      </w:r>
      <w:r>
        <w:rPr>
          <w:b/>
          <w:bCs/>
        </w:rPr>
        <w:t>cowe</w:t>
      </w:r>
    </w:p>
    <w:p w14:paraId="12378A61" w14:textId="77777777" w:rsidR="00FF79C1" w:rsidRDefault="00FF79C1" w:rsidP="00FF79C1">
      <w:pPr>
        <w:autoSpaceDE w:val="0"/>
        <w:autoSpaceDN w:val="0"/>
        <w:adjustRightInd w:val="0"/>
        <w:jc w:val="center"/>
        <w:rPr>
          <w:b/>
          <w:bCs/>
        </w:rPr>
      </w:pPr>
    </w:p>
    <w:p w14:paraId="77C46827" w14:textId="77777777" w:rsidR="00C13DD0" w:rsidRDefault="009B7AD9" w:rsidP="00C13DD0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Wymogi stawiane Członkom Rady Inwestycyjnej dotyczące profesjonalizmu, rzetelności, wiarygodności, bezstronności i unikania potencjalnego konfliktu interesów określa Kodeks Postępowania, który stanowi załącznik nr 1 do niniejszego Regulaminu.</w:t>
      </w:r>
    </w:p>
    <w:p w14:paraId="44DC93DB" w14:textId="3EE7763F" w:rsidR="009B7AD9" w:rsidRDefault="009B7AD9" w:rsidP="00FF79C1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Członkowie Rady Inwestycyjnej składają oświadczenie, że zapoznali się z treścią</w:t>
      </w:r>
      <w:r w:rsidR="00C13DD0">
        <w:t xml:space="preserve"> </w:t>
      </w:r>
      <w:r>
        <w:t>Regulaminu i</w:t>
      </w:r>
      <w:r w:rsidR="00674591">
        <w:t> </w:t>
      </w:r>
      <w:r>
        <w:t xml:space="preserve">Kodeksu Postępowania oraz składają zobowiązanie do </w:t>
      </w:r>
      <w:r w:rsidR="002D49AB">
        <w:t xml:space="preserve">ich </w:t>
      </w:r>
      <w:r>
        <w:t>przestrzegania. Oświadczenie stanowi załącznik nr 2 do niniejszego Regulaminu.</w:t>
      </w:r>
    </w:p>
    <w:p w14:paraId="5D2123C8" w14:textId="77777777" w:rsidR="009B7AD9" w:rsidRDefault="009B7AD9" w:rsidP="00E65348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Regulamin Rady Inwestycyjnej jest uzgadniany i podpisywany pomiędzy Instytucją Zarządzającą i</w:t>
      </w:r>
      <w:r w:rsidR="00F5761C">
        <w:t> </w:t>
      </w:r>
      <w:r>
        <w:t>Menadżerem Zachodniopomorskiego Funduszu Powierniczego JEREMIE.</w:t>
      </w:r>
    </w:p>
    <w:p w14:paraId="5B6686B9" w14:textId="77777777" w:rsidR="00212863" w:rsidRDefault="009B7AD9" w:rsidP="00E309B6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 xml:space="preserve">Zmiany Regulaminu wymagają łącznej akceptacji Instytucji Zarządzającej i Menadżera Zachodniopomorskiego Funduszu Powierniczego JEREMIE. </w:t>
      </w:r>
    </w:p>
    <w:p w14:paraId="074B4399" w14:textId="77777777" w:rsidR="009B7AD9" w:rsidRDefault="009B7AD9" w:rsidP="00E309B6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Rada Inwestycyjna zostaje rozwiązana z dniem wygaśnięcia Umowy.</w:t>
      </w:r>
    </w:p>
    <w:p w14:paraId="083E8B95" w14:textId="77777777" w:rsidR="009B7AD9" w:rsidRDefault="009B7AD9" w:rsidP="00E65348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>
        <w:t>W sprawach nieuregulowanych w Regulaminie i Kodeksie Postępowania, o którym mowa w</w:t>
      </w:r>
      <w:r w:rsidR="00F5761C">
        <w:t> </w:t>
      </w:r>
      <w:r w:rsidR="00212863" w:rsidRPr="009C1707">
        <w:t>§</w:t>
      </w:r>
      <w:r w:rsidR="00F5761C">
        <w:t> </w:t>
      </w:r>
      <w:r w:rsidR="00212863">
        <w:t>8</w:t>
      </w:r>
      <w:r w:rsidR="00F5761C">
        <w:t>  </w:t>
      </w:r>
      <w:r>
        <w:t>ust.1</w:t>
      </w:r>
      <w:r w:rsidR="00025FDA">
        <w:t xml:space="preserve"> powyżej</w:t>
      </w:r>
      <w:r>
        <w:t>,</w:t>
      </w:r>
      <w:r w:rsidR="00B80FFF">
        <w:t xml:space="preserve"> </w:t>
      </w:r>
      <w:r>
        <w:t>mają zastosowanie postanowienia Umowy.</w:t>
      </w:r>
    </w:p>
    <w:p w14:paraId="627D87CD" w14:textId="77777777" w:rsidR="00B80FFF" w:rsidRDefault="00B80FFF" w:rsidP="00FF79C1">
      <w:pPr>
        <w:autoSpaceDE w:val="0"/>
        <w:autoSpaceDN w:val="0"/>
        <w:adjustRightInd w:val="0"/>
        <w:ind w:left="3540" w:firstLine="708"/>
        <w:jc w:val="both"/>
        <w:rPr>
          <w:b/>
          <w:bCs/>
        </w:rPr>
      </w:pPr>
    </w:p>
    <w:p w14:paraId="04CFB7EA" w14:textId="77777777" w:rsidR="00B80FFF" w:rsidRDefault="00B80FFF" w:rsidP="00FF79C1">
      <w:pPr>
        <w:autoSpaceDE w:val="0"/>
        <w:autoSpaceDN w:val="0"/>
        <w:adjustRightInd w:val="0"/>
        <w:ind w:left="3540" w:firstLine="708"/>
        <w:jc w:val="both"/>
        <w:rPr>
          <w:b/>
          <w:bCs/>
        </w:rPr>
      </w:pPr>
    </w:p>
    <w:p w14:paraId="2FCF49D3" w14:textId="77777777" w:rsidR="00B80FFF" w:rsidRDefault="00B80FFF" w:rsidP="00FF79C1">
      <w:pPr>
        <w:autoSpaceDE w:val="0"/>
        <w:autoSpaceDN w:val="0"/>
        <w:adjustRightInd w:val="0"/>
        <w:ind w:left="3540" w:firstLine="708"/>
        <w:jc w:val="both"/>
        <w:rPr>
          <w:b/>
          <w:bCs/>
        </w:rPr>
      </w:pPr>
    </w:p>
    <w:p w14:paraId="3E4FF7DF" w14:textId="77777777" w:rsidR="00454596" w:rsidRDefault="00454596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1CE50626" w14:textId="77777777" w:rsidR="00025FDA" w:rsidRDefault="00025FDA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19299502" w14:textId="77777777" w:rsidR="00025FDA" w:rsidRDefault="00025FDA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6B461FDA" w14:textId="77777777" w:rsidR="00025FDA" w:rsidRDefault="00025FDA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7C40DBE3" w14:textId="77777777" w:rsidR="00025FDA" w:rsidRDefault="00025FDA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5F4090AB" w14:textId="77777777" w:rsidR="00025FDA" w:rsidRDefault="00025FDA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4AFADE0A" w14:textId="77777777" w:rsidR="00674591" w:rsidRDefault="00674591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15251162" w14:textId="77777777" w:rsidR="00674591" w:rsidRDefault="00674591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4A1897B8" w14:textId="77777777" w:rsidR="00025FDA" w:rsidRDefault="00025FDA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0C0A5C72" w14:textId="77777777" w:rsidR="00C22CA2" w:rsidRDefault="00C22CA2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04894AB3" w14:textId="77777777" w:rsidR="00C22CA2" w:rsidRDefault="00C22CA2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22035ADE" w14:textId="77777777" w:rsidR="00C22CA2" w:rsidRDefault="00C22CA2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75C1C612" w14:textId="77777777" w:rsidR="00C22CA2" w:rsidRDefault="00C22CA2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2C8153BF" w14:textId="77777777" w:rsidR="00E65348" w:rsidRDefault="00E65348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7876A16C" w14:textId="77777777" w:rsidR="00025FDA" w:rsidRDefault="00025FDA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7A1BA0AB" w14:textId="77777777" w:rsidR="005F04C3" w:rsidRDefault="005F04C3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5CA780C0" w14:textId="77777777" w:rsidR="00C22CA2" w:rsidRDefault="00C22CA2" w:rsidP="00C22CA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10EFCAD1" w14:textId="77777777" w:rsidR="00454596" w:rsidRDefault="00454596" w:rsidP="00C22CA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Zał</w:t>
      </w:r>
      <w:r>
        <w:rPr>
          <w:rFonts w:ascii="Arial,Bold" w:eastAsia="Arial,Bold" w:cs="Arial,Bold" w:hint="eastAsia"/>
          <w:b/>
          <w:bCs/>
        </w:rPr>
        <w:t>ą</w:t>
      </w:r>
      <w:r>
        <w:rPr>
          <w:b/>
          <w:bCs/>
        </w:rPr>
        <w:t>cznik nr 1 do Regulaminu Rady Inwestycyjnej Zachodniopomorskiego Funduszu</w:t>
      </w:r>
    </w:p>
    <w:p w14:paraId="5A446FCB" w14:textId="77777777" w:rsidR="00454596" w:rsidRDefault="00454596" w:rsidP="00C22CA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Powierniczego JEREMIE</w:t>
      </w:r>
    </w:p>
    <w:p w14:paraId="0E819D9C" w14:textId="77777777" w:rsidR="00454596" w:rsidRDefault="00454596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1D881B80" w14:textId="19834980" w:rsidR="00454596" w:rsidRDefault="0045459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Kodeks Post</w:t>
      </w:r>
      <w:r>
        <w:rPr>
          <w:rFonts w:ascii="Arial,Bold" w:eastAsia="Arial,Bold" w:cs="Arial,Bold" w:hint="eastAsia"/>
          <w:b/>
          <w:bCs/>
        </w:rPr>
        <w:t>ę</w:t>
      </w:r>
      <w:r w:rsidR="00C22CA2">
        <w:rPr>
          <w:b/>
          <w:bCs/>
        </w:rPr>
        <w:t xml:space="preserve">powania Członków </w:t>
      </w:r>
      <w:r>
        <w:rPr>
          <w:b/>
          <w:bCs/>
        </w:rPr>
        <w:t>Rady Inwestycyjnej</w:t>
      </w:r>
    </w:p>
    <w:p w14:paraId="0993CF53" w14:textId="77777777" w:rsidR="00454596" w:rsidRDefault="00454596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0685641E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465E98E2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Postanowienia ogólne</w:t>
      </w:r>
    </w:p>
    <w:p w14:paraId="361BE29B" w14:textId="77777777" w:rsidR="00454596" w:rsidRDefault="00454596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66D1193E" w14:textId="109E28EB" w:rsidR="00454596" w:rsidRDefault="00454596" w:rsidP="005F30BA">
      <w:pPr>
        <w:autoSpaceDE w:val="0"/>
        <w:autoSpaceDN w:val="0"/>
        <w:adjustRightInd w:val="0"/>
        <w:spacing w:line="360" w:lineRule="auto"/>
        <w:jc w:val="both"/>
      </w:pPr>
      <w:r>
        <w:t>1) Kodeks określa zasady postępowania i standardy zachowania, które obowiązują Członków Rady Inwestycyjnej, w związku z posiadanymi kompetencjami określonymi w</w:t>
      </w:r>
      <w:r w:rsidR="00397930">
        <w:t xml:space="preserve"> </w:t>
      </w:r>
      <w:r>
        <w:t>Umowie o dofinansowanie przedsięwzięcia zawartej w dniu 29 września 2009 roku między</w:t>
      </w:r>
      <w:r w:rsidR="00397930">
        <w:t xml:space="preserve"> </w:t>
      </w:r>
      <w:r>
        <w:t>Województwem Zachodniopomorskim a Bankiem Gospodarstwa Krajowego.</w:t>
      </w:r>
    </w:p>
    <w:p w14:paraId="7EC23D8E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both"/>
      </w:pPr>
      <w:r>
        <w:t>2) Kodeks oparty jest na podstawowych zasadach, wartościach i normach etycznych takich jak:</w:t>
      </w:r>
      <w:r w:rsidR="00397930">
        <w:t xml:space="preserve"> </w:t>
      </w:r>
      <w:r>
        <w:t>prawość, uczciwość, rzetelność, profesjonalizm, wiarygodność, odpowiedzialność i bezstronność.</w:t>
      </w:r>
    </w:p>
    <w:p w14:paraId="7CC06F36" w14:textId="1E948402" w:rsidR="00454596" w:rsidRDefault="00454596" w:rsidP="00082A16">
      <w:pPr>
        <w:autoSpaceDE w:val="0"/>
        <w:autoSpaceDN w:val="0"/>
        <w:adjustRightInd w:val="0"/>
        <w:spacing w:line="360" w:lineRule="auto"/>
        <w:jc w:val="both"/>
      </w:pPr>
      <w:r>
        <w:t>3) Członkowie Rady Inwestycyjnej przestrzegają postanowienia niniejszego</w:t>
      </w:r>
      <w:r w:rsidR="00397930">
        <w:t xml:space="preserve"> </w:t>
      </w:r>
      <w:r>
        <w:t>Kodeksu.</w:t>
      </w:r>
    </w:p>
    <w:p w14:paraId="7D7769EB" w14:textId="77777777" w:rsidR="00454596" w:rsidRDefault="00454596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69274D96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23D85F04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Zasada ujawniania</w:t>
      </w:r>
    </w:p>
    <w:p w14:paraId="3EC1E908" w14:textId="77777777" w:rsidR="00454596" w:rsidRDefault="00454596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3015A3CF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both"/>
      </w:pPr>
      <w:r>
        <w:t>1)</w:t>
      </w:r>
      <w:r w:rsidRPr="00454596">
        <w:t xml:space="preserve"> </w:t>
      </w:r>
      <w:r>
        <w:t>Przed powołaniem Członek Rady Inwestycyjnej jest zobowiązany do ujawnienia wszelkich</w:t>
      </w:r>
      <w:r w:rsidR="00397930">
        <w:t xml:space="preserve"> </w:t>
      </w:r>
      <w:r>
        <w:t xml:space="preserve">interesów, relacji, które mogą mieć wpływ na jego </w:t>
      </w:r>
      <w:r w:rsidR="009338EB">
        <w:t>niezależność</w:t>
      </w:r>
      <w:r>
        <w:t xml:space="preserve"> i bezstronność oraz które mogłyby</w:t>
      </w:r>
      <w:r w:rsidR="00397930">
        <w:t xml:space="preserve"> </w:t>
      </w:r>
      <w:r>
        <w:t>stwarzać pozory nieprawidłowości lub stronniczości w postępowaniu.</w:t>
      </w:r>
    </w:p>
    <w:p w14:paraId="493A161D" w14:textId="605C7FC1" w:rsidR="00454596" w:rsidRDefault="00454596" w:rsidP="005F30BA">
      <w:pPr>
        <w:autoSpaceDE w:val="0"/>
        <w:autoSpaceDN w:val="0"/>
        <w:adjustRightInd w:val="0"/>
        <w:spacing w:line="360" w:lineRule="auto"/>
        <w:jc w:val="both"/>
      </w:pPr>
      <w:r>
        <w:t>2) Po powołaniu Członka Rady Inwestycyjnej, jest on nadal zobowiązany do stałego ujawniania</w:t>
      </w:r>
      <w:r w:rsidR="00397930">
        <w:t xml:space="preserve"> </w:t>
      </w:r>
      <w:r>
        <w:t xml:space="preserve">wszelkich interesów i relacji, o których mowa w ust. 1. Ujawnienie musi zostać </w:t>
      </w:r>
      <w:r w:rsidR="009338EB">
        <w:t>złożone</w:t>
      </w:r>
      <w:r>
        <w:t xml:space="preserve"> w formie</w:t>
      </w:r>
      <w:r w:rsidR="00397930">
        <w:t xml:space="preserve"> </w:t>
      </w:r>
      <w:r>
        <w:t xml:space="preserve">pisemnej do Instytucji Zarządzającej i </w:t>
      </w:r>
      <w:r w:rsidR="00325496">
        <w:t>Menadżera</w:t>
      </w:r>
      <w:r>
        <w:t>.</w:t>
      </w:r>
    </w:p>
    <w:p w14:paraId="546F2F2D" w14:textId="77777777" w:rsidR="00454596" w:rsidRDefault="00454596" w:rsidP="00082A16">
      <w:pPr>
        <w:autoSpaceDE w:val="0"/>
        <w:autoSpaceDN w:val="0"/>
        <w:adjustRightInd w:val="0"/>
        <w:spacing w:line="360" w:lineRule="auto"/>
        <w:jc w:val="both"/>
      </w:pPr>
      <w:r>
        <w:t>3) W sytuacji, gdy Członek Rady Inwestycyjnej uzyska informacje o okolicznościach, które mają</w:t>
      </w:r>
      <w:r w:rsidR="00397930">
        <w:t xml:space="preserve"> </w:t>
      </w:r>
      <w:r>
        <w:t xml:space="preserve">wpływ na </w:t>
      </w:r>
      <w:r w:rsidR="009338EB">
        <w:t>niezależność</w:t>
      </w:r>
      <w:r>
        <w:t xml:space="preserve"> lub bezstronność innego Członka Rady, zobowiązany jest do</w:t>
      </w:r>
      <w:r w:rsidR="00397930">
        <w:t xml:space="preserve"> niezwłocznego </w:t>
      </w:r>
      <w:r>
        <w:t>poinformowania o ich wystąpieniu Przewodniczącego Rady i Instytucję</w:t>
      </w:r>
      <w:r w:rsidR="00397930">
        <w:t xml:space="preserve"> </w:t>
      </w:r>
      <w:r>
        <w:t>Zarządzającą.</w:t>
      </w:r>
    </w:p>
    <w:p w14:paraId="4871A69E" w14:textId="77777777" w:rsidR="00397930" w:rsidRDefault="00397930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4B11C9FF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 3</w:t>
      </w:r>
    </w:p>
    <w:p w14:paraId="047F2A3C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Zasada </w:t>
      </w:r>
      <w:r w:rsidR="009338EB">
        <w:rPr>
          <w:b/>
          <w:bCs/>
        </w:rPr>
        <w:t>niezale</w:t>
      </w:r>
      <w:r w:rsidR="009338EB">
        <w:rPr>
          <w:rFonts w:ascii="Arial,Bold" w:eastAsia="Arial,Bold" w:cs="Arial,Bold"/>
          <w:b/>
          <w:bCs/>
        </w:rPr>
        <w:t>ż</w:t>
      </w:r>
      <w:r w:rsidR="009338EB">
        <w:rPr>
          <w:b/>
          <w:bCs/>
        </w:rPr>
        <w:t>no</w:t>
      </w:r>
      <w:r w:rsidR="009338EB">
        <w:rPr>
          <w:rFonts w:ascii="Arial,Bold" w:eastAsia="Arial,Bold" w:cs="Arial,Bold"/>
          <w:b/>
          <w:bCs/>
        </w:rPr>
        <w:t>ś</w:t>
      </w:r>
      <w:r w:rsidR="009338EB">
        <w:rPr>
          <w:b/>
          <w:bCs/>
        </w:rPr>
        <w:t>ci</w:t>
      </w:r>
      <w:r>
        <w:rPr>
          <w:b/>
          <w:bCs/>
        </w:rPr>
        <w:t xml:space="preserve"> i bezstronno</w:t>
      </w:r>
      <w:r>
        <w:rPr>
          <w:rFonts w:ascii="Arial,Bold" w:eastAsia="Arial,Bold" w:cs="Arial,Bold" w:hint="eastAsia"/>
          <w:b/>
          <w:bCs/>
        </w:rPr>
        <w:t>ś</w:t>
      </w:r>
      <w:r>
        <w:rPr>
          <w:b/>
          <w:bCs/>
        </w:rPr>
        <w:t>ci</w:t>
      </w:r>
    </w:p>
    <w:p w14:paraId="1D83F72C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6AAE0F60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both"/>
      </w:pPr>
      <w:r>
        <w:t xml:space="preserve">1) Członek Rady jest </w:t>
      </w:r>
      <w:r w:rsidR="009338EB">
        <w:t>niezależny</w:t>
      </w:r>
      <w:r>
        <w:t xml:space="preserve"> podczas realizacji zadań wynikających z członkostwa w Radzie</w:t>
      </w:r>
      <w:r w:rsidR="00397930">
        <w:t xml:space="preserve"> </w:t>
      </w:r>
      <w:r>
        <w:t>Inwestycyjnej.</w:t>
      </w:r>
    </w:p>
    <w:p w14:paraId="3290BF27" w14:textId="429902E3" w:rsidR="00454596" w:rsidRDefault="000952CC" w:rsidP="00082A16">
      <w:pPr>
        <w:autoSpaceDE w:val="0"/>
        <w:autoSpaceDN w:val="0"/>
        <w:adjustRightInd w:val="0"/>
        <w:spacing w:line="360" w:lineRule="auto"/>
        <w:jc w:val="both"/>
      </w:pPr>
      <w:r>
        <w:t>2) Członek</w:t>
      </w:r>
      <w:r w:rsidR="00454596">
        <w:t xml:space="preserve"> Rady Inwestycyjnej postępuje w sposób uczciwy, rzetelny i z</w:t>
      </w:r>
      <w:r w:rsidR="00397930">
        <w:t xml:space="preserve"> </w:t>
      </w:r>
      <w:r w:rsidR="00454596">
        <w:t>poszanowaniem prawa.</w:t>
      </w:r>
    </w:p>
    <w:p w14:paraId="7601F682" w14:textId="0310A738" w:rsidR="00454596" w:rsidRDefault="00454596" w:rsidP="00082A16">
      <w:pPr>
        <w:autoSpaceDE w:val="0"/>
        <w:autoSpaceDN w:val="0"/>
        <w:adjustRightInd w:val="0"/>
        <w:spacing w:line="360" w:lineRule="auto"/>
        <w:jc w:val="both"/>
      </w:pPr>
      <w:r>
        <w:t>3) Członek Rady Inwestycyjnej nie ulega wpływom własnych interesów oraz naciskom</w:t>
      </w:r>
      <w:r w:rsidR="00397930">
        <w:t xml:space="preserve"> </w:t>
      </w:r>
      <w:r>
        <w:t>z ze</w:t>
      </w:r>
      <w:r w:rsidR="009338EB">
        <w:t>wnątrz. Ponadto, nie podejmuje ż</w:t>
      </w:r>
      <w:r>
        <w:t>adnych</w:t>
      </w:r>
      <w:r w:rsidR="009338EB">
        <w:t xml:space="preserve"> zobowiązań oraz nie przyjmuje ż</w:t>
      </w:r>
      <w:r>
        <w:t>adnych korzyści,</w:t>
      </w:r>
      <w:r w:rsidR="00397930">
        <w:t xml:space="preserve"> </w:t>
      </w:r>
      <w:r>
        <w:t>które w jakikolwiek sposób wpływałyby lub stwarzałyby pozory wpływania na prawidłowe</w:t>
      </w:r>
      <w:r w:rsidR="00397930">
        <w:t xml:space="preserve"> </w:t>
      </w:r>
      <w:r>
        <w:t>wykonywanie jego obowiązków.</w:t>
      </w:r>
    </w:p>
    <w:p w14:paraId="445AD409" w14:textId="77777777" w:rsidR="00A95C68" w:rsidRDefault="00A95C68" w:rsidP="00D54B21">
      <w:pPr>
        <w:autoSpaceDE w:val="0"/>
        <w:autoSpaceDN w:val="0"/>
        <w:adjustRightInd w:val="0"/>
        <w:spacing w:line="360" w:lineRule="auto"/>
        <w:jc w:val="both"/>
      </w:pPr>
    </w:p>
    <w:p w14:paraId="6B852C04" w14:textId="77777777" w:rsidR="00A95C68" w:rsidRDefault="00A95C68" w:rsidP="00D54B21">
      <w:pPr>
        <w:autoSpaceDE w:val="0"/>
        <w:autoSpaceDN w:val="0"/>
        <w:adjustRightInd w:val="0"/>
        <w:spacing w:line="360" w:lineRule="auto"/>
        <w:jc w:val="both"/>
      </w:pPr>
    </w:p>
    <w:p w14:paraId="6EF691FB" w14:textId="53CF5DBC" w:rsidR="00454596" w:rsidRDefault="00454596" w:rsidP="00D54B21">
      <w:pPr>
        <w:autoSpaceDE w:val="0"/>
        <w:autoSpaceDN w:val="0"/>
        <w:adjustRightInd w:val="0"/>
        <w:spacing w:line="360" w:lineRule="auto"/>
        <w:jc w:val="both"/>
      </w:pPr>
      <w:r>
        <w:t>4) Cz</w:t>
      </w:r>
      <w:r w:rsidR="009338EB">
        <w:t>łonek Rady Inwestycyjnej nie może objąć żadnych funkcji ani przyjąć ż</w:t>
      </w:r>
      <w:r>
        <w:t>adnych zleceń, które są</w:t>
      </w:r>
      <w:r w:rsidR="00397930">
        <w:t xml:space="preserve"> </w:t>
      </w:r>
      <w:r>
        <w:t>w</w:t>
      </w:r>
      <w:r w:rsidR="00C22CA2">
        <w:t> </w:t>
      </w:r>
      <w:r>
        <w:t>konflikcie z zakresem jego odpowiedzialności i zadaniami wynikającymi z członkostwa w Radzie</w:t>
      </w:r>
      <w:r w:rsidR="00397930">
        <w:t xml:space="preserve"> </w:t>
      </w:r>
      <w:r>
        <w:t>Inwestycyjnej. Zgodnie z § 2 niniejszego Kodeksu, Członek Rady Inwestycyjnej informuje o</w:t>
      </w:r>
      <w:r w:rsidR="00397930">
        <w:t xml:space="preserve"> zaistnieniu </w:t>
      </w:r>
      <w:r>
        <w:t>potencjalnego konfliktu interesów, który pojawił się w trakcie realizacji tych zadań i nie</w:t>
      </w:r>
      <w:r w:rsidR="00397930">
        <w:t xml:space="preserve"> </w:t>
      </w:r>
      <w:r>
        <w:t>uczestniczy w</w:t>
      </w:r>
      <w:r w:rsidR="00C22CA2">
        <w:t> </w:t>
      </w:r>
      <w:r>
        <w:t>wydawaniu opinii w tym zakresie.</w:t>
      </w:r>
    </w:p>
    <w:p w14:paraId="044B4632" w14:textId="77777777" w:rsidR="00454596" w:rsidRDefault="00454596" w:rsidP="00FF79C1">
      <w:pPr>
        <w:autoSpaceDE w:val="0"/>
        <w:autoSpaceDN w:val="0"/>
        <w:adjustRightInd w:val="0"/>
        <w:spacing w:line="360" w:lineRule="auto"/>
        <w:jc w:val="both"/>
      </w:pPr>
    </w:p>
    <w:p w14:paraId="56D090F4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 4</w:t>
      </w:r>
    </w:p>
    <w:p w14:paraId="1A55C19A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Zasada poufno</w:t>
      </w:r>
      <w:r>
        <w:rPr>
          <w:rFonts w:ascii="Arial,Bold" w:eastAsia="Arial,Bold" w:cs="Arial,Bold" w:hint="eastAsia"/>
          <w:b/>
          <w:bCs/>
        </w:rPr>
        <w:t>ś</w:t>
      </w:r>
      <w:r>
        <w:rPr>
          <w:b/>
          <w:bCs/>
        </w:rPr>
        <w:t>ci</w:t>
      </w:r>
    </w:p>
    <w:p w14:paraId="66F0E611" w14:textId="77777777" w:rsidR="00772E06" w:rsidRDefault="00772E06" w:rsidP="005F30B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42B71210" w14:textId="30EBC046" w:rsidR="00454596" w:rsidRDefault="00454596" w:rsidP="005F30BA">
      <w:pPr>
        <w:autoSpaceDE w:val="0"/>
        <w:autoSpaceDN w:val="0"/>
        <w:adjustRightInd w:val="0"/>
        <w:spacing w:line="360" w:lineRule="auto"/>
        <w:jc w:val="both"/>
      </w:pPr>
      <w:r>
        <w:t xml:space="preserve">1) Członek </w:t>
      </w:r>
      <w:r w:rsidR="009338EB">
        <w:t>Rady Inwestycyjnej nie ujawnia ż</w:t>
      </w:r>
      <w:r>
        <w:t>adnych poufnych informacji lub danych, do</w:t>
      </w:r>
      <w:r w:rsidR="00397930">
        <w:t xml:space="preserve"> </w:t>
      </w:r>
      <w:r>
        <w:t>których uzyskał dostęp w związku z członkostwem w Radzie Inwestycyjnej lub udziałem w jej</w:t>
      </w:r>
      <w:r w:rsidR="00397930">
        <w:t xml:space="preserve"> </w:t>
      </w:r>
      <w:r>
        <w:t>posiedzenia</w:t>
      </w:r>
      <w:r w:rsidR="005F04C3">
        <w:t>ch</w:t>
      </w:r>
      <w:r>
        <w:t>, osobom lub podmiotom, które nie są członkami Rady Inwestycyjnej, z wyjątkiem</w:t>
      </w:r>
      <w:r w:rsidR="00397930">
        <w:t xml:space="preserve"> </w:t>
      </w:r>
      <w:r w:rsidR="00325496">
        <w:t>Menadżera</w:t>
      </w:r>
      <w:r>
        <w:t xml:space="preserve"> i Instytucji Zarządzającej.</w:t>
      </w:r>
    </w:p>
    <w:p w14:paraId="043CBB45" w14:textId="579E4BAA" w:rsidR="00454596" w:rsidRDefault="000952CC" w:rsidP="00082A16">
      <w:pPr>
        <w:autoSpaceDE w:val="0"/>
        <w:autoSpaceDN w:val="0"/>
        <w:adjustRightInd w:val="0"/>
        <w:spacing w:line="360" w:lineRule="auto"/>
        <w:jc w:val="both"/>
      </w:pPr>
      <w:r>
        <w:t xml:space="preserve">2) Członek </w:t>
      </w:r>
      <w:r w:rsidR="00454596">
        <w:t>Rady Inwestycyjnej przestrzega zasady poufności informacji, o których</w:t>
      </w:r>
      <w:r w:rsidR="00397930">
        <w:t xml:space="preserve"> </w:t>
      </w:r>
      <w:r w:rsidR="00454596">
        <w:t>mowa w ust. 1,</w:t>
      </w:r>
      <w:r w:rsidR="00C22CA2">
        <w:t> </w:t>
      </w:r>
      <w:r w:rsidR="009338EB">
        <w:t>również</w:t>
      </w:r>
      <w:r w:rsidR="00454596">
        <w:t xml:space="preserve"> po zakończeniu kad</w:t>
      </w:r>
      <w:r>
        <w:t>encji, rezygnacji z członkostwa lub</w:t>
      </w:r>
      <w:r w:rsidR="00454596">
        <w:t xml:space="preserve"> odwołaniu ze składu</w:t>
      </w:r>
      <w:r w:rsidR="00397930">
        <w:t xml:space="preserve"> Rady </w:t>
      </w:r>
      <w:r w:rsidR="00454596">
        <w:t>Inwestycyjnej. Zobowiązanie to nie dotyczy informacji, które</w:t>
      </w:r>
      <w:r w:rsidR="00397930">
        <w:t xml:space="preserve"> zostały </w:t>
      </w:r>
      <w:r w:rsidR="00454596">
        <w:t>ujawnione przez uprawnione organy oraz informac</w:t>
      </w:r>
      <w:r w:rsidR="00397930">
        <w:t xml:space="preserve">ji powszechnie znanych, chyba, </w:t>
      </w:r>
      <w:r w:rsidR="009338EB">
        <w:t>ż</w:t>
      </w:r>
      <w:r w:rsidR="00454596">
        <w:t>e</w:t>
      </w:r>
      <w:r w:rsidR="00397930">
        <w:t xml:space="preserve"> </w:t>
      </w:r>
      <w:r w:rsidR="00454596">
        <w:t>zostały one udostępnione na skutek nieuprawnionego ujawnienia przez Członka Rady Inwestycyjnej oraz inne osoby.</w:t>
      </w:r>
    </w:p>
    <w:p w14:paraId="28E8F62C" w14:textId="77777777" w:rsidR="00772E06" w:rsidRDefault="00772E06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0C38C0FE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 5</w:t>
      </w:r>
    </w:p>
    <w:p w14:paraId="78507CED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Wypełnianie obowi</w:t>
      </w:r>
      <w:r>
        <w:rPr>
          <w:rFonts w:ascii="Arial,Bold" w:eastAsia="Arial,Bold" w:cs="Arial,Bold" w:hint="eastAsia"/>
          <w:b/>
          <w:bCs/>
        </w:rPr>
        <w:t>ą</w:t>
      </w:r>
      <w:r>
        <w:rPr>
          <w:b/>
          <w:bCs/>
        </w:rPr>
        <w:t>zków</w:t>
      </w:r>
    </w:p>
    <w:p w14:paraId="42D59A31" w14:textId="77777777" w:rsidR="00772E06" w:rsidRDefault="00772E06" w:rsidP="00FF79C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17891AA7" w14:textId="4540924F" w:rsidR="00454596" w:rsidRDefault="00454596" w:rsidP="005F30BA">
      <w:pPr>
        <w:autoSpaceDE w:val="0"/>
        <w:autoSpaceDN w:val="0"/>
        <w:adjustRightInd w:val="0"/>
        <w:spacing w:line="360" w:lineRule="auto"/>
        <w:jc w:val="both"/>
      </w:pPr>
      <w:r>
        <w:t>1) Członek Rady Inwestycyjnej wykonuje powierzone mu zadania w Radzie Inwestycyjnej rzetelnie i</w:t>
      </w:r>
      <w:r w:rsidR="00C22CA2">
        <w:t> </w:t>
      </w:r>
      <w:r>
        <w:t>starannie, przy wykorzystaniu swojej wiedzy i doświadczenia oraz w jak najszybszym czasie.</w:t>
      </w:r>
    </w:p>
    <w:p w14:paraId="01D02BC6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both"/>
      </w:pPr>
      <w:r>
        <w:t xml:space="preserve">2) Członek Rady Inwestycyjnej </w:t>
      </w:r>
      <w:r w:rsidR="009338EB">
        <w:t>rozważa</w:t>
      </w:r>
      <w:r>
        <w:t xml:space="preserve"> wyłącznie kwestie, które wynikają z powierzonych mu zadań</w:t>
      </w:r>
      <w:r w:rsidR="00397930">
        <w:t xml:space="preserve"> </w:t>
      </w:r>
      <w:r>
        <w:t>w Radzie Inwestycyjnej i są niezbędne w celu wydania opinii. Członek Rady Inwestycyjnej nie</w:t>
      </w:r>
      <w:r w:rsidR="00397930">
        <w:t xml:space="preserve"> </w:t>
      </w:r>
      <w:r w:rsidR="009338EB">
        <w:t>moż</w:t>
      </w:r>
      <w:r>
        <w:t>e przekazać przedmio</w:t>
      </w:r>
      <w:r w:rsidR="009338EB">
        <w:t>towych zadań do realizacji ż</w:t>
      </w:r>
      <w:r>
        <w:t>adnej innej osobie.</w:t>
      </w:r>
    </w:p>
    <w:p w14:paraId="2A2BF9C3" w14:textId="77777777" w:rsidR="00772E06" w:rsidRDefault="00772E06" w:rsidP="00FF79C1">
      <w:pPr>
        <w:autoSpaceDE w:val="0"/>
        <w:autoSpaceDN w:val="0"/>
        <w:adjustRightInd w:val="0"/>
        <w:spacing w:line="360" w:lineRule="auto"/>
        <w:jc w:val="both"/>
      </w:pPr>
    </w:p>
    <w:p w14:paraId="74197579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§ 6</w:t>
      </w:r>
    </w:p>
    <w:p w14:paraId="0FBC8651" w14:textId="77777777" w:rsidR="009338EB" w:rsidRDefault="00454596" w:rsidP="005F30BA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Postanowienia ko</w:t>
      </w:r>
      <w:r>
        <w:rPr>
          <w:rFonts w:ascii="Arial,Bold" w:eastAsia="Arial,Bold" w:cs="Arial,Bold" w:hint="eastAsia"/>
          <w:b/>
          <w:bCs/>
        </w:rPr>
        <w:t>ń</w:t>
      </w:r>
      <w:r>
        <w:rPr>
          <w:b/>
          <w:bCs/>
        </w:rPr>
        <w:t>cowe</w:t>
      </w:r>
    </w:p>
    <w:p w14:paraId="4E797F82" w14:textId="2A5E6FC9" w:rsidR="00454596" w:rsidRDefault="00454596" w:rsidP="005F30BA">
      <w:pPr>
        <w:autoSpaceDE w:val="0"/>
        <w:autoSpaceDN w:val="0"/>
        <w:adjustRightInd w:val="0"/>
        <w:spacing w:line="360" w:lineRule="auto"/>
        <w:jc w:val="both"/>
      </w:pPr>
      <w:r>
        <w:t>1) Członek Rady Inwestycyjnej unika niewłaściwego postępowania i zapobiega</w:t>
      </w:r>
      <w:r w:rsidR="00397930">
        <w:t xml:space="preserve"> </w:t>
      </w:r>
      <w:r>
        <w:t>występowaniu niewłaściwych zadań.</w:t>
      </w:r>
    </w:p>
    <w:p w14:paraId="261D6CE7" w14:textId="77777777" w:rsidR="00454596" w:rsidRDefault="00454596" w:rsidP="005F30BA">
      <w:pPr>
        <w:autoSpaceDE w:val="0"/>
        <w:autoSpaceDN w:val="0"/>
        <w:adjustRightInd w:val="0"/>
        <w:spacing w:line="360" w:lineRule="auto"/>
        <w:jc w:val="both"/>
      </w:pPr>
      <w:r>
        <w:t xml:space="preserve">2) Członek Rady Inwestycyjnej jest </w:t>
      </w:r>
      <w:r w:rsidR="009338EB">
        <w:t>niezależny</w:t>
      </w:r>
      <w:r>
        <w:t xml:space="preserve"> i wydaje </w:t>
      </w:r>
      <w:r w:rsidR="009338EB">
        <w:t>niezależne</w:t>
      </w:r>
      <w:r>
        <w:t xml:space="preserve"> opinie oraz unika bezpośrednich</w:t>
      </w:r>
      <w:r w:rsidR="00397930">
        <w:t xml:space="preserve"> </w:t>
      </w:r>
      <w:r>
        <w:t>lub pośrednich konfliktów interesów.</w:t>
      </w:r>
    </w:p>
    <w:p w14:paraId="51E7A91E" w14:textId="77777777" w:rsidR="00772E06" w:rsidRPr="009338EB" w:rsidRDefault="009338EB" w:rsidP="005F30BA">
      <w:pPr>
        <w:autoSpaceDE w:val="0"/>
        <w:autoSpaceDN w:val="0"/>
        <w:adjustRightInd w:val="0"/>
        <w:spacing w:line="360" w:lineRule="auto"/>
        <w:jc w:val="both"/>
      </w:pPr>
      <w:r>
        <w:t>3) Każ</w:t>
      </w:r>
      <w:r w:rsidR="00454596">
        <w:t>dy Członek Rady Inwestycyjnej stosuje się do wysokich standardów postępowania w Radzie</w:t>
      </w:r>
      <w:r w:rsidR="00397930">
        <w:t xml:space="preserve"> </w:t>
      </w:r>
      <w:r w:rsidR="00454596">
        <w:t>Inwestycyjnej.</w:t>
      </w:r>
    </w:p>
    <w:p w14:paraId="3F4FBD83" w14:textId="77777777" w:rsidR="00772E06" w:rsidRDefault="00772E06" w:rsidP="00FF79C1">
      <w:pPr>
        <w:autoSpaceDE w:val="0"/>
        <w:autoSpaceDN w:val="0"/>
        <w:adjustRightInd w:val="0"/>
        <w:jc w:val="both"/>
        <w:rPr>
          <w:b/>
          <w:bCs/>
        </w:rPr>
      </w:pPr>
    </w:p>
    <w:p w14:paraId="71262DB8" w14:textId="77777777" w:rsidR="00397930" w:rsidRDefault="00397930" w:rsidP="00FF79C1">
      <w:pPr>
        <w:autoSpaceDE w:val="0"/>
        <w:autoSpaceDN w:val="0"/>
        <w:adjustRightInd w:val="0"/>
        <w:jc w:val="both"/>
        <w:rPr>
          <w:b/>
          <w:bCs/>
        </w:rPr>
      </w:pPr>
    </w:p>
    <w:p w14:paraId="60B4D198" w14:textId="77777777" w:rsidR="0053027E" w:rsidRDefault="0053027E" w:rsidP="00FF79C1">
      <w:pPr>
        <w:autoSpaceDE w:val="0"/>
        <w:autoSpaceDN w:val="0"/>
        <w:adjustRightInd w:val="0"/>
        <w:jc w:val="both"/>
        <w:rPr>
          <w:b/>
          <w:bCs/>
        </w:rPr>
      </w:pPr>
    </w:p>
    <w:p w14:paraId="13D9A7D6" w14:textId="77777777" w:rsidR="00A95C68" w:rsidRDefault="00A95C68" w:rsidP="00FF79C1">
      <w:pPr>
        <w:autoSpaceDE w:val="0"/>
        <w:autoSpaceDN w:val="0"/>
        <w:adjustRightInd w:val="0"/>
        <w:jc w:val="both"/>
        <w:rPr>
          <w:b/>
          <w:bCs/>
        </w:rPr>
      </w:pPr>
    </w:p>
    <w:p w14:paraId="20087AA3" w14:textId="77777777" w:rsidR="00A95C68" w:rsidRDefault="00A95C68" w:rsidP="00A95C68">
      <w:pPr>
        <w:autoSpaceDE w:val="0"/>
        <w:autoSpaceDN w:val="0"/>
        <w:adjustRightInd w:val="0"/>
        <w:jc w:val="center"/>
        <w:rPr>
          <w:b/>
          <w:bCs/>
        </w:rPr>
      </w:pPr>
    </w:p>
    <w:p w14:paraId="0055740B" w14:textId="77777777" w:rsidR="00454596" w:rsidRDefault="00454596" w:rsidP="00C22CA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Zał</w:t>
      </w:r>
      <w:r>
        <w:rPr>
          <w:rFonts w:ascii="Arial,Bold" w:eastAsia="Arial,Bold" w:cs="Arial,Bold" w:hint="eastAsia"/>
          <w:b/>
          <w:bCs/>
        </w:rPr>
        <w:t>ą</w:t>
      </w:r>
      <w:r>
        <w:rPr>
          <w:b/>
          <w:bCs/>
        </w:rPr>
        <w:t>cznik nr 2 do Regulaminu Rady Inwestycyjnej Zachodniopomorskiego Funduszu</w:t>
      </w:r>
    </w:p>
    <w:p w14:paraId="69517FA4" w14:textId="77777777" w:rsidR="00454596" w:rsidRDefault="00454596" w:rsidP="00C22CA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Powierniczego JEREMIE</w:t>
      </w:r>
    </w:p>
    <w:p w14:paraId="769AB8E0" w14:textId="77777777" w:rsidR="00772E06" w:rsidRDefault="00772E06" w:rsidP="00FF79C1">
      <w:pPr>
        <w:autoSpaceDE w:val="0"/>
        <w:autoSpaceDN w:val="0"/>
        <w:adjustRightInd w:val="0"/>
        <w:jc w:val="both"/>
      </w:pPr>
    </w:p>
    <w:p w14:paraId="28B37318" w14:textId="77777777" w:rsidR="00454596" w:rsidRDefault="009338EB" w:rsidP="00FF79C1">
      <w:pPr>
        <w:autoSpaceDE w:val="0"/>
        <w:autoSpaceDN w:val="0"/>
        <w:adjustRightInd w:val="0"/>
        <w:jc w:val="both"/>
      </w:pPr>
      <w:r>
        <w:t>Oświadczam, ż</w:t>
      </w:r>
      <w:r w:rsidR="00454596">
        <w:t>e zapoznałam/zapoznałem się z treścią Regulaminu Rady Inwestycyjnej i Kodeksu</w:t>
      </w:r>
      <w:r w:rsidR="00397930">
        <w:t xml:space="preserve"> </w:t>
      </w:r>
      <w:r w:rsidR="00454596">
        <w:t>Postępowania oraz zobowiązuję się do przestrzegania ich postanowień.</w:t>
      </w:r>
    </w:p>
    <w:p w14:paraId="0753342B" w14:textId="77777777" w:rsidR="00454596" w:rsidRDefault="00454596" w:rsidP="00FF79C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4105"/>
        <w:gridCol w:w="1620"/>
        <w:gridCol w:w="2700"/>
      </w:tblGrid>
      <w:tr w:rsidR="00454596" w14:paraId="551C7120" w14:textId="77777777" w:rsidTr="00C22CA2">
        <w:trPr>
          <w:trHeight w:val="567"/>
        </w:trPr>
        <w:tc>
          <w:tcPr>
            <w:tcW w:w="683" w:type="dxa"/>
            <w:shd w:val="clear" w:color="auto" w:fill="auto"/>
          </w:tcPr>
          <w:p w14:paraId="1E04FDEF" w14:textId="77777777" w:rsidR="00454596" w:rsidRPr="00A61B60" w:rsidRDefault="00454596" w:rsidP="00FF79C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61B60">
              <w:rPr>
                <w:b/>
              </w:rPr>
              <w:t>L.P.</w:t>
            </w:r>
          </w:p>
        </w:tc>
        <w:tc>
          <w:tcPr>
            <w:tcW w:w="4105" w:type="dxa"/>
            <w:shd w:val="clear" w:color="auto" w:fill="auto"/>
          </w:tcPr>
          <w:p w14:paraId="408E8906" w14:textId="77777777" w:rsidR="00454596" w:rsidRPr="00A61B60" w:rsidRDefault="00454596" w:rsidP="00FF79C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61B60">
              <w:rPr>
                <w:b/>
              </w:rPr>
              <w:t>Nazwisko i imię</w:t>
            </w:r>
          </w:p>
        </w:tc>
        <w:tc>
          <w:tcPr>
            <w:tcW w:w="1620" w:type="dxa"/>
            <w:shd w:val="clear" w:color="auto" w:fill="auto"/>
          </w:tcPr>
          <w:p w14:paraId="372B84CB" w14:textId="77777777" w:rsidR="00454596" w:rsidRPr="00A61B60" w:rsidRDefault="00454596" w:rsidP="00FF79C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61B60">
              <w:rPr>
                <w:b/>
              </w:rPr>
              <w:t>Data</w:t>
            </w:r>
          </w:p>
        </w:tc>
        <w:tc>
          <w:tcPr>
            <w:tcW w:w="2700" w:type="dxa"/>
            <w:shd w:val="clear" w:color="auto" w:fill="auto"/>
          </w:tcPr>
          <w:p w14:paraId="1B9242E1" w14:textId="77777777" w:rsidR="00454596" w:rsidRPr="00A61B60" w:rsidRDefault="00454596" w:rsidP="00FF79C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61B60">
              <w:rPr>
                <w:b/>
              </w:rPr>
              <w:t>Podpis</w:t>
            </w:r>
          </w:p>
        </w:tc>
      </w:tr>
      <w:tr w:rsidR="00454596" w14:paraId="3CDF9B0C" w14:textId="77777777" w:rsidTr="00C22CA2">
        <w:trPr>
          <w:trHeight w:val="567"/>
        </w:trPr>
        <w:tc>
          <w:tcPr>
            <w:tcW w:w="683" w:type="dxa"/>
            <w:shd w:val="clear" w:color="auto" w:fill="auto"/>
          </w:tcPr>
          <w:p w14:paraId="3F2CCC17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5" w:type="dxa"/>
            <w:shd w:val="clear" w:color="auto" w:fill="auto"/>
          </w:tcPr>
          <w:p w14:paraId="349E64AD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shd w:val="clear" w:color="auto" w:fill="auto"/>
          </w:tcPr>
          <w:p w14:paraId="3B88FDEA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1181D546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</w:tr>
      <w:tr w:rsidR="00454596" w14:paraId="7BE84B5E" w14:textId="77777777" w:rsidTr="00C22CA2">
        <w:trPr>
          <w:trHeight w:val="567"/>
        </w:trPr>
        <w:tc>
          <w:tcPr>
            <w:tcW w:w="683" w:type="dxa"/>
            <w:shd w:val="clear" w:color="auto" w:fill="auto"/>
          </w:tcPr>
          <w:p w14:paraId="694BF32C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5" w:type="dxa"/>
            <w:shd w:val="clear" w:color="auto" w:fill="auto"/>
          </w:tcPr>
          <w:p w14:paraId="21BCDAB1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shd w:val="clear" w:color="auto" w:fill="auto"/>
          </w:tcPr>
          <w:p w14:paraId="651E8DDE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6035681F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</w:tr>
      <w:tr w:rsidR="00454596" w14:paraId="375A15F2" w14:textId="77777777" w:rsidTr="00C22CA2">
        <w:trPr>
          <w:trHeight w:val="567"/>
        </w:trPr>
        <w:tc>
          <w:tcPr>
            <w:tcW w:w="683" w:type="dxa"/>
            <w:shd w:val="clear" w:color="auto" w:fill="auto"/>
          </w:tcPr>
          <w:p w14:paraId="19A05AC0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5" w:type="dxa"/>
            <w:shd w:val="clear" w:color="auto" w:fill="auto"/>
          </w:tcPr>
          <w:p w14:paraId="37C62622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shd w:val="clear" w:color="auto" w:fill="auto"/>
          </w:tcPr>
          <w:p w14:paraId="47B1AA89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05E82EDA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</w:tr>
      <w:tr w:rsidR="00454596" w14:paraId="4AA1D9A6" w14:textId="77777777" w:rsidTr="00C22CA2">
        <w:trPr>
          <w:trHeight w:val="567"/>
        </w:trPr>
        <w:tc>
          <w:tcPr>
            <w:tcW w:w="683" w:type="dxa"/>
            <w:shd w:val="clear" w:color="auto" w:fill="auto"/>
          </w:tcPr>
          <w:p w14:paraId="1608B9F6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5" w:type="dxa"/>
            <w:shd w:val="clear" w:color="auto" w:fill="auto"/>
          </w:tcPr>
          <w:p w14:paraId="67D2CC0F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shd w:val="clear" w:color="auto" w:fill="auto"/>
          </w:tcPr>
          <w:p w14:paraId="1CEB5669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0B5EB065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</w:tr>
      <w:tr w:rsidR="00454596" w14:paraId="66BDF27C" w14:textId="77777777" w:rsidTr="00C22CA2">
        <w:trPr>
          <w:trHeight w:val="567"/>
        </w:trPr>
        <w:tc>
          <w:tcPr>
            <w:tcW w:w="683" w:type="dxa"/>
            <w:shd w:val="clear" w:color="auto" w:fill="auto"/>
          </w:tcPr>
          <w:p w14:paraId="3E278FAB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5" w:type="dxa"/>
            <w:shd w:val="clear" w:color="auto" w:fill="auto"/>
          </w:tcPr>
          <w:p w14:paraId="0EBF6F36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shd w:val="clear" w:color="auto" w:fill="auto"/>
          </w:tcPr>
          <w:p w14:paraId="611A2728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435D20BE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</w:tr>
      <w:tr w:rsidR="00454596" w14:paraId="3EC6C912" w14:textId="77777777" w:rsidTr="00C22CA2">
        <w:trPr>
          <w:trHeight w:val="567"/>
        </w:trPr>
        <w:tc>
          <w:tcPr>
            <w:tcW w:w="683" w:type="dxa"/>
            <w:shd w:val="clear" w:color="auto" w:fill="auto"/>
          </w:tcPr>
          <w:p w14:paraId="200C7A9B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5" w:type="dxa"/>
            <w:shd w:val="clear" w:color="auto" w:fill="auto"/>
          </w:tcPr>
          <w:p w14:paraId="19C853F1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shd w:val="clear" w:color="auto" w:fill="auto"/>
          </w:tcPr>
          <w:p w14:paraId="354910E7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4F1A4B47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</w:tr>
      <w:tr w:rsidR="00454596" w14:paraId="26915B58" w14:textId="77777777" w:rsidTr="00C22CA2">
        <w:trPr>
          <w:trHeight w:val="567"/>
        </w:trPr>
        <w:tc>
          <w:tcPr>
            <w:tcW w:w="683" w:type="dxa"/>
            <w:shd w:val="clear" w:color="auto" w:fill="auto"/>
          </w:tcPr>
          <w:p w14:paraId="6B1C8F0E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5" w:type="dxa"/>
            <w:shd w:val="clear" w:color="auto" w:fill="auto"/>
          </w:tcPr>
          <w:p w14:paraId="41A8EBEB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shd w:val="clear" w:color="auto" w:fill="auto"/>
          </w:tcPr>
          <w:p w14:paraId="086F7C81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38080415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</w:tr>
      <w:tr w:rsidR="00454596" w14:paraId="45BFD339" w14:textId="77777777" w:rsidTr="00C22CA2">
        <w:trPr>
          <w:trHeight w:val="567"/>
        </w:trPr>
        <w:tc>
          <w:tcPr>
            <w:tcW w:w="683" w:type="dxa"/>
            <w:shd w:val="clear" w:color="auto" w:fill="auto"/>
          </w:tcPr>
          <w:p w14:paraId="3169FDE9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5" w:type="dxa"/>
            <w:shd w:val="clear" w:color="auto" w:fill="auto"/>
          </w:tcPr>
          <w:p w14:paraId="4A3E9D4C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shd w:val="clear" w:color="auto" w:fill="auto"/>
          </w:tcPr>
          <w:p w14:paraId="5F255BA7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3739F6DA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</w:tr>
      <w:tr w:rsidR="00454596" w14:paraId="24204ECE" w14:textId="77777777" w:rsidTr="00C22CA2">
        <w:trPr>
          <w:trHeight w:val="567"/>
        </w:trPr>
        <w:tc>
          <w:tcPr>
            <w:tcW w:w="683" w:type="dxa"/>
            <w:shd w:val="clear" w:color="auto" w:fill="auto"/>
          </w:tcPr>
          <w:p w14:paraId="6B171D3A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5" w:type="dxa"/>
            <w:shd w:val="clear" w:color="auto" w:fill="auto"/>
          </w:tcPr>
          <w:p w14:paraId="70C92D02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shd w:val="clear" w:color="auto" w:fill="auto"/>
          </w:tcPr>
          <w:p w14:paraId="70D09824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0D698502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</w:tr>
      <w:tr w:rsidR="00454596" w14:paraId="6378F523" w14:textId="77777777" w:rsidTr="00C22CA2">
        <w:trPr>
          <w:trHeight w:val="567"/>
        </w:trPr>
        <w:tc>
          <w:tcPr>
            <w:tcW w:w="683" w:type="dxa"/>
            <w:shd w:val="clear" w:color="auto" w:fill="auto"/>
          </w:tcPr>
          <w:p w14:paraId="067C0DB4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5" w:type="dxa"/>
            <w:shd w:val="clear" w:color="auto" w:fill="auto"/>
          </w:tcPr>
          <w:p w14:paraId="60267633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0" w:type="dxa"/>
            <w:shd w:val="clear" w:color="auto" w:fill="auto"/>
          </w:tcPr>
          <w:p w14:paraId="3E916B21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shd w:val="clear" w:color="auto" w:fill="auto"/>
          </w:tcPr>
          <w:p w14:paraId="6BC79A57" w14:textId="77777777" w:rsidR="00454596" w:rsidRDefault="00454596" w:rsidP="00FF79C1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32613188" w14:textId="77777777" w:rsidR="00454596" w:rsidRDefault="00454596" w:rsidP="00FF79C1">
      <w:pPr>
        <w:autoSpaceDE w:val="0"/>
        <w:autoSpaceDN w:val="0"/>
        <w:adjustRightInd w:val="0"/>
        <w:jc w:val="both"/>
      </w:pPr>
    </w:p>
    <w:sectPr w:rsidR="0045459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73C93" w14:textId="77777777" w:rsidR="00757AEF" w:rsidRDefault="00757AEF">
      <w:r>
        <w:separator/>
      </w:r>
    </w:p>
  </w:endnote>
  <w:endnote w:type="continuationSeparator" w:id="0">
    <w:p w14:paraId="1A3F97DB" w14:textId="77777777" w:rsidR="00757AEF" w:rsidRDefault="00757AEF">
      <w:r>
        <w:continuationSeparator/>
      </w:r>
    </w:p>
  </w:endnote>
  <w:endnote w:type="continuationNotice" w:id="1">
    <w:p w14:paraId="275C751E" w14:textId="77777777" w:rsidR="00757AEF" w:rsidRDefault="00757A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7EC43" w14:textId="77777777" w:rsidR="00014554" w:rsidRDefault="00014554" w:rsidP="00FF79C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0126F">
      <w:rPr>
        <w:noProof/>
      </w:rPr>
      <w:t>1</w:t>
    </w:r>
    <w:r>
      <w:fldChar w:fldCharType="end"/>
    </w:r>
  </w:p>
  <w:p w14:paraId="64AF83B4" w14:textId="77777777" w:rsidR="00014554" w:rsidRDefault="000145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95E37" w14:textId="77777777" w:rsidR="00757AEF" w:rsidRDefault="00757AEF">
      <w:r>
        <w:separator/>
      </w:r>
    </w:p>
  </w:footnote>
  <w:footnote w:type="continuationSeparator" w:id="0">
    <w:p w14:paraId="634A9E6A" w14:textId="77777777" w:rsidR="00757AEF" w:rsidRDefault="00757AEF">
      <w:r>
        <w:continuationSeparator/>
      </w:r>
    </w:p>
  </w:footnote>
  <w:footnote w:type="continuationNotice" w:id="1">
    <w:p w14:paraId="03E8CAA4" w14:textId="77777777" w:rsidR="00757AEF" w:rsidRDefault="00757A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604DF" w14:textId="03F33B87" w:rsidR="009C1707" w:rsidRDefault="0050126F">
    <w:pPr>
      <w:pStyle w:val="Nagwek"/>
    </w:pPr>
    <w:r>
      <w:rPr>
        <w:noProof/>
      </w:rPr>
      <w:pict w14:anchorId="2105D4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451.4pt;height:49.4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569"/>
    <w:multiLevelType w:val="hybridMultilevel"/>
    <w:tmpl w:val="21004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C7615"/>
    <w:multiLevelType w:val="hybridMultilevel"/>
    <w:tmpl w:val="1FAC8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847"/>
    <w:multiLevelType w:val="hybridMultilevel"/>
    <w:tmpl w:val="1FAC8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01648"/>
    <w:multiLevelType w:val="hybridMultilevel"/>
    <w:tmpl w:val="DD4A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45E43"/>
    <w:multiLevelType w:val="hybridMultilevel"/>
    <w:tmpl w:val="DD6C25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12852"/>
    <w:multiLevelType w:val="hybridMultilevel"/>
    <w:tmpl w:val="2F180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06DAC"/>
    <w:multiLevelType w:val="hybridMultilevel"/>
    <w:tmpl w:val="3D042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A5694"/>
    <w:multiLevelType w:val="hybridMultilevel"/>
    <w:tmpl w:val="81A05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F3D15"/>
    <w:multiLevelType w:val="hybridMultilevel"/>
    <w:tmpl w:val="60609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A78C3"/>
    <w:multiLevelType w:val="hybridMultilevel"/>
    <w:tmpl w:val="4D82031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02B1CA9"/>
    <w:multiLevelType w:val="hybridMultilevel"/>
    <w:tmpl w:val="87600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5B7957"/>
    <w:multiLevelType w:val="hybridMultilevel"/>
    <w:tmpl w:val="987A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625ED"/>
    <w:multiLevelType w:val="hybridMultilevel"/>
    <w:tmpl w:val="4E86C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57766"/>
    <w:multiLevelType w:val="hybridMultilevel"/>
    <w:tmpl w:val="2C32F31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BBF4A4A"/>
    <w:multiLevelType w:val="hybridMultilevel"/>
    <w:tmpl w:val="DEA03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31DB4"/>
    <w:multiLevelType w:val="hybridMultilevel"/>
    <w:tmpl w:val="6E3A4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33128"/>
    <w:multiLevelType w:val="hybridMultilevel"/>
    <w:tmpl w:val="0FFEC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B35115"/>
    <w:multiLevelType w:val="hybridMultilevel"/>
    <w:tmpl w:val="94F89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B19E8"/>
    <w:multiLevelType w:val="hybridMultilevel"/>
    <w:tmpl w:val="3FD88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E0559"/>
    <w:multiLevelType w:val="hybridMultilevel"/>
    <w:tmpl w:val="6EE6E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33D61"/>
    <w:multiLevelType w:val="hybridMultilevel"/>
    <w:tmpl w:val="EAFA0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EC0E35"/>
    <w:multiLevelType w:val="hybridMultilevel"/>
    <w:tmpl w:val="86701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A55C9"/>
    <w:multiLevelType w:val="hybridMultilevel"/>
    <w:tmpl w:val="02E69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22"/>
  </w:num>
  <w:num w:numId="5">
    <w:abstractNumId w:val="4"/>
  </w:num>
  <w:num w:numId="6">
    <w:abstractNumId w:val="13"/>
  </w:num>
  <w:num w:numId="7">
    <w:abstractNumId w:val="10"/>
  </w:num>
  <w:num w:numId="8">
    <w:abstractNumId w:val="8"/>
  </w:num>
  <w:num w:numId="9">
    <w:abstractNumId w:val="9"/>
  </w:num>
  <w:num w:numId="10">
    <w:abstractNumId w:val="6"/>
  </w:num>
  <w:num w:numId="11">
    <w:abstractNumId w:val="21"/>
  </w:num>
  <w:num w:numId="12">
    <w:abstractNumId w:val="3"/>
  </w:num>
  <w:num w:numId="13">
    <w:abstractNumId w:val="15"/>
  </w:num>
  <w:num w:numId="14">
    <w:abstractNumId w:val="0"/>
  </w:num>
  <w:num w:numId="15">
    <w:abstractNumId w:val="16"/>
  </w:num>
  <w:num w:numId="16">
    <w:abstractNumId w:val="7"/>
  </w:num>
  <w:num w:numId="17">
    <w:abstractNumId w:val="12"/>
  </w:num>
  <w:num w:numId="18">
    <w:abstractNumId w:val="20"/>
  </w:num>
  <w:num w:numId="19">
    <w:abstractNumId w:val="11"/>
  </w:num>
  <w:num w:numId="20">
    <w:abstractNumId w:val="5"/>
  </w:num>
  <w:num w:numId="21">
    <w:abstractNumId w:val="19"/>
  </w:num>
  <w:num w:numId="22">
    <w:abstractNumId w:val="1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4596"/>
    <w:rsid w:val="00007F04"/>
    <w:rsid w:val="00014554"/>
    <w:rsid w:val="00017CF6"/>
    <w:rsid w:val="00024285"/>
    <w:rsid w:val="00025FDA"/>
    <w:rsid w:val="00044553"/>
    <w:rsid w:val="00082A16"/>
    <w:rsid w:val="000952CC"/>
    <w:rsid w:val="000B1366"/>
    <w:rsid w:val="000C3A33"/>
    <w:rsid w:val="00196530"/>
    <w:rsid w:val="001A363C"/>
    <w:rsid w:val="001D0074"/>
    <w:rsid w:val="00212863"/>
    <w:rsid w:val="00226777"/>
    <w:rsid w:val="00232D83"/>
    <w:rsid w:val="00266EAB"/>
    <w:rsid w:val="002A2701"/>
    <w:rsid w:val="002A6A8D"/>
    <w:rsid w:val="002D49AB"/>
    <w:rsid w:val="00305166"/>
    <w:rsid w:val="003120F2"/>
    <w:rsid w:val="00324255"/>
    <w:rsid w:val="00325496"/>
    <w:rsid w:val="00330F56"/>
    <w:rsid w:val="00332561"/>
    <w:rsid w:val="003435B2"/>
    <w:rsid w:val="00355F9C"/>
    <w:rsid w:val="00375881"/>
    <w:rsid w:val="00385279"/>
    <w:rsid w:val="00397930"/>
    <w:rsid w:val="003E5762"/>
    <w:rsid w:val="004235A1"/>
    <w:rsid w:val="00454596"/>
    <w:rsid w:val="004A4D8E"/>
    <w:rsid w:val="004B62D6"/>
    <w:rsid w:val="004E27B9"/>
    <w:rsid w:val="004F13B1"/>
    <w:rsid w:val="0050126F"/>
    <w:rsid w:val="0053027E"/>
    <w:rsid w:val="00594FD1"/>
    <w:rsid w:val="005950E5"/>
    <w:rsid w:val="005F04C3"/>
    <w:rsid w:val="005F30BA"/>
    <w:rsid w:val="00613898"/>
    <w:rsid w:val="00635241"/>
    <w:rsid w:val="0065614D"/>
    <w:rsid w:val="0067226B"/>
    <w:rsid w:val="00674591"/>
    <w:rsid w:val="00683FE2"/>
    <w:rsid w:val="006A7721"/>
    <w:rsid w:val="006B1D5E"/>
    <w:rsid w:val="006B1F0E"/>
    <w:rsid w:val="006C0355"/>
    <w:rsid w:val="006D595D"/>
    <w:rsid w:val="00703778"/>
    <w:rsid w:val="00711542"/>
    <w:rsid w:val="00722FF6"/>
    <w:rsid w:val="007235F6"/>
    <w:rsid w:val="00736E63"/>
    <w:rsid w:val="007413E9"/>
    <w:rsid w:val="00751EC0"/>
    <w:rsid w:val="00755C2F"/>
    <w:rsid w:val="00757AEF"/>
    <w:rsid w:val="00772E06"/>
    <w:rsid w:val="007735A9"/>
    <w:rsid w:val="007C0AE9"/>
    <w:rsid w:val="007C76C6"/>
    <w:rsid w:val="007E30D9"/>
    <w:rsid w:val="007E4686"/>
    <w:rsid w:val="007F0600"/>
    <w:rsid w:val="0081371A"/>
    <w:rsid w:val="00831A96"/>
    <w:rsid w:val="00855490"/>
    <w:rsid w:val="008B2F7D"/>
    <w:rsid w:val="008D3FC6"/>
    <w:rsid w:val="008E22CF"/>
    <w:rsid w:val="008E3A8E"/>
    <w:rsid w:val="00930C68"/>
    <w:rsid w:val="00931B3F"/>
    <w:rsid w:val="009338EB"/>
    <w:rsid w:val="009A4CD8"/>
    <w:rsid w:val="009A5CC4"/>
    <w:rsid w:val="009B7AD9"/>
    <w:rsid w:val="009C1707"/>
    <w:rsid w:val="009D3840"/>
    <w:rsid w:val="009F7DC3"/>
    <w:rsid w:val="00A61B60"/>
    <w:rsid w:val="00A6667C"/>
    <w:rsid w:val="00A81432"/>
    <w:rsid w:val="00A95C68"/>
    <w:rsid w:val="00AD12BC"/>
    <w:rsid w:val="00AD5153"/>
    <w:rsid w:val="00AD6158"/>
    <w:rsid w:val="00AE7CB3"/>
    <w:rsid w:val="00AF4165"/>
    <w:rsid w:val="00B373F1"/>
    <w:rsid w:val="00B80FFF"/>
    <w:rsid w:val="00BB68FD"/>
    <w:rsid w:val="00BC62E2"/>
    <w:rsid w:val="00BC6606"/>
    <w:rsid w:val="00BD1907"/>
    <w:rsid w:val="00C13DD0"/>
    <w:rsid w:val="00C15766"/>
    <w:rsid w:val="00C22CA2"/>
    <w:rsid w:val="00C51296"/>
    <w:rsid w:val="00C51685"/>
    <w:rsid w:val="00C54218"/>
    <w:rsid w:val="00C74F79"/>
    <w:rsid w:val="00C80487"/>
    <w:rsid w:val="00D42B83"/>
    <w:rsid w:val="00D54B21"/>
    <w:rsid w:val="00D8740A"/>
    <w:rsid w:val="00DC7DF5"/>
    <w:rsid w:val="00DE2ADC"/>
    <w:rsid w:val="00E01F23"/>
    <w:rsid w:val="00E27C7D"/>
    <w:rsid w:val="00E309B6"/>
    <w:rsid w:val="00E57369"/>
    <w:rsid w:val="00E63C94"/>
    <w:rsid w:val="00E65348"/>
    <w:rsid w:val="00EA200C"/>
    <w:rsid w:val="00EC3063"/>
    <w:rsid w:val="00F14988"/>
    <w:rsid w:val="00F5761C"/>
    <w:rsid w:val="00F90C8D"/>
    <w:rsid w:val="00F958C7"/>
    <w:rsid w:val="00FA0C8D"/>
    <w:rsid w:val="00FD5704"/>
    <w:rsid w:val="00FD6CE3"/>
    <w:rsid w:val="00FE2312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54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2A270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A270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9A5C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A5CC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A5CC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5CC4"/>
  </w:style>
  <w:style w:type="character" w:customStyle="1" w:styleId="TekstkomentarzaZnak">
    <w:name w:val="Tekst komentarza Znak"/>
    <w:link w:val="Tekstkomentarza"/>
    <w:rsid w:val="009A5CC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9A5CC4"/>
    <w:rPr>
      <w:b/>
      <w:bCs/>
    </w:rPr>
  </w:style>
  <w:style w:type="character" w:customStyle="1" w:styleId="TematkomentarzaZnak">
    <w:name w:val="Temat komentarza Znak"/>
    <w:link w:val="Tematkomentarza"/>
    <w:rsid w:val="009A5CC4"/>
    <w:rPr>
      <w:rFonts w:ascii="Arial" w:hAnsi="Arial" w:cs="Arial"/>
      <w:b/>
      <w:bCs/>
    </w:rPr>
  </w:style>
  <w:style w:type="character" w:customStyle="1" w:styleId="StopkaZnak">
    <w:name w:val="Stopka Znak"/>
    <w:link w:val="Stopka"/>
    <w:uiPriority w:val="99"/>
    <w:rsid w:val="00FF79C1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F7DC3"/>
    <w:pPr>
      <w:ind w:left="708"/>
    </w:pPr>
  </w:style>
  <w:style w:type="paragraph" w:styleId="Poprawka">
    <w:name w:val="Revision"/>
    <w:hidden/>
    <w:uiPriority w:val="99"/>
    <w:semiHidden/>
    <w:rsid w:val="00757AE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545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2A270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A270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9A5C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A5CC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A5CC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5CC4"/>
  </w:style>
  <w:style w:type="character" w:customStyle="1" w:styleId="TekstkomentarzaZnak">
    <w:name w:val="Tekst komentarza Znak"/>
    <w:link w:val="Tekstkomentarza"/>
    <w:rsid w:val="009A5CC4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9A5CC4"/>
    <w:rPr>
      <w:b/>
      <w:bCs/>
    </w:rPr>
  </w:style>
  <w:style w:type="character" w:customStyle="1" w:styleId="TematkomentarzaZnak">
    <w:name w:val="Temat komentarza Znak"/>
    <w:link w:val="Tematkomentarza"/>
    <w:rsid w:val="009A5CC4"/>
    <w:rPr>
      <w:rFonts w:ascii="Arial" w:hAnsi="Arial" w:cs="Arial"/>
      <w:b/>
      <w:bCs/>
    </w:rPr>
  </w:style>
  <w:style w:type="character" w:customStyle="1" w:styleId="StopkaZnak">
    <w:name w:val="Stopka Znak"/>
    <w:link w:val="Stopka"/>
    <w:uiPriority w:val="99"/>
    <w:rsid w:val="00FF79C1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F7DC3"/>
    <w:pPr>
      <w:ind w:left="708"/>
    </w:pPr>
  </w:style>
  <w:style w:type="paragraph" w:styleId="Poprawka">
    <w:name w:val="Revision"/>
    <w:hidden/>
    <w:uiPriority w:val="99"/>
    <w:semiHidden/>
    <w:rsid w:val="00757AE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98FE-8FF1-4FB2-89CD-CA291736BF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1B568-EB2E-4AF2-A762-253AC0CE2C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D3BF8-C73D-4DBA-909C-D4F93C58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1905</Words>
  <Characters>12877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Wyciąg z Regulaminu Rady Inwestycyjnej Funduszu Powierniczego JEREMIE</vt:lpstr>
    </vt:vector>
  </TitlesOfParts>
  <Company/>
  <LinksUpToDate>false</LinksUpToDate>
  <CharactersWithSpaces>14753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Wyciąg z Regulaminu Rady Inwestycyjnej Funduszu Powierniczego JEREMIE</dc:title>
  <dc:creator>MKafarska</dc:creator>
  <cp:lastModifiedBy>WZS</cp:lastModifiedBy>
  <cp:revision>2</cp:revision>
  <cp:lastPrinted>2014-01-30T08:19:00Z</cp:lastPrinted>
  <dcterms:created xsi:type="dcterms:W3CDTF">2014-02-10T08:40:00Z</dcterms:created>
  <dcterms:modified xsi:type="dcterms:W3CDTF">2014-02-10T08:40:00Z</dcterms:modified>
</cp:coreProperties>
</file>