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7B327A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 xml:space="preserve">godnie z art. 26 ust. 2 pkt. 2d ustawy z dnia 29 stycznia 2004 roku - Prawo zamówień publicznych (Dz. U. </w:t>
      </w:r>
      <w:proofErr w:type="gramStart"/>
      <w:r w:rsidRPr="00193897">
        <w:rPr>
          <w:rFonts w:ascii="Arial" w:hAnsi="Arial" w:cs="Arial"/>
          <w:sz w:val="20"/>
          <w:szCs w:val="20"/>
        </w:rPr>
        <w:t>z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</w:t>
      </w:r>
      <w:proofErr w:type="gramStart"/>
      <w:r w:rsidRPr="00DE7275">
        <w:rPr>
          <w:rFonts w:ascii="Arial" w:hAnsi="Arial" w:cs="Arial"/>
          <w:b/>
          <w:sz w:val="20"/>
          <w:szCs w:val="20"/>
          <w:u w:val="single"/>
        </w:rPr>
        <w:t>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7B327A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4D3F7D"/>
    <w:rsid w:val="006D4BC7"/>
    <w:rsid w:val="007B327A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wwyszkowska</cp:lastModifiedBy>
  <cp:revision>7</cp:revision>
  <dcterms:created xsi:type="dcterms:W3CDTF">2013-03-06T12:23:00Z</dcterms:created>
  <dcterms:modified xsi:type="dcterms:W3CDTF">2014-02-03T13:35:00Z</dcterms:modified>
</cp:coreProperties>
</file>