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AC204B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AC204B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2013-09-26T12:41:00Z</dcterms:modified>
</cp:coreProperties>
</file>