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E23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1c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1E23B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1E23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SIECIOWYCH</w:t>
            </w:r>
            <w:r w:rsidR="001E23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86908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E23BF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75D3B" w:rsidRDefault="00B75D3B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  <w:bookmarkStart w:id="0" w:name="_GoBack"/>
      <w:bookmarkEnd w:id="0"/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75D3B" w:rsidRDefault="00B75D3B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B75D3B" w:rsidRPr="001F342D" w:rsidRDefault="00B75D3B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265E7" w:rsidRDefault="00981C8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B75D3B">
        <w:rPr>
          <w:rFonts w:ascii="Arial" w:hAnsi="Arial" w:cs="Arial"/>
          <w:b/>
          <w:sz w:val="20"/>
          <w:szCs w:val="20"/>
        </w:rPr>
        <w:t>urządzeń sieciowych</w:t>
      </w:r>
      <w:r w:rsidR="005916D6">
        <w:rPr>
          <w:rFonts w:ascii="Arial" w:hAnsi="Arial" w:cs="Arial"/>
          <w:b/>
          <w:sz w:val="20"/>
          <w:szCs w:val="20"/>
        </w:rPr>
        <w:t xml:space="preserve"> oferowan</w:t>
      </w:r>
      <w:r w:rsidR="00B75D3B">
        <w:rPr>
          <w:rFonts w:ascii="Arial" w:hAnsi="Arial" w:cs="Arial"/>
          <w:b/>
          <w:sz w:val="20"/>
          <w:szCs w:val="20"/>
        </w:rPr>
        <w:t>ych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 xml:space="preserve">w Zadaniu nr </w:t>
      </w:r>
      <w:r w:rsidR="00B9785E">
        <w:rPr>
          <w:rFonts w:ascii="Arial" w:hAnsi="Arial" w:cs="Arial"/>
          <w:b/>
          <w:sz w:val="20"/>
          <w:szCs w:val="20"/>
        </w:rPr>
        <w:t>3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B75D3B">
        <w:rPr>
          <w:rFonts w:ascii="Arial" w:hAnsi="Arial" w:cs="Arial"/>
          <w:b/>
          <w:sz w:val="20"/>
          <w:szCs w:val="20"/>
        </w:rPr>
        <w:t>Urządzenia sieciowe wraz z oprogramowaniem zarządzającym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</w:p>
    <w:p w:rsidR="00B75D3B" w:rsidRDefault="00B75D3B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B75D3B" w:rsidRPr="00B75D3B" w:rsidRDefault="00B75D3B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 1 – 6</w:t>
      </w:r>
      <w:r w:rsidRPr="00181E65">
        <w:rPr>
          <w:rFonts w:ascii="Arial" w:hAnsi="Arial" w:cs="Arial"/>
          <w:b/>
          <w:sz w:val="20"/>
          <w:szCs w:val="20"/>
        </w:rPr>
        <w:t xml:space="preserve"> sztuk. Nazwa i model urządzenia:</w:t>
      </w:r>
    </w:p>
    <w:p w:rsidR="00B75D3B" w:rsidRPr="002C1511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240" w:after="120"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Pr="00181E65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81E65">
        <w:rPr>
          <w:rFonts w:ascii="Arial" w:hAnsi="Arial" w:cs="Arial"/>
          <w:sz w:val="20"/>
          <w:szCs w:val="20"/>
        </w:rPr>
        <w:t xml:space="preserve">.......... </w:t>
      </w:r>
      <w:r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</w:p>
    <w:p w:rsidR="00B75D3B" w:rsidRDefault="00C4123E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B75D3B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B75D3B" w:rsidRPr="00E73E9B">
        <w:rPr>
          <w:rFonts w:ascii="Arial" w:hAnsi="Arial" w:cs="Arial"/>
          <w:sz w:val="16"/>
          <w:szCs w:val="16"/>
        </w:rPr>
        <w:t xml:space="preserve"> (w poszc</w:t>
      </w:r>
      <w:r w:rsidR="00B75D3B">
        <w:rPr>
          <w:rFonts w:ascii="Arial" w:hAnsi="Arial" w:cs="Arial"/>
          <w:sz w:val="16"/>
          <w:szCs w:val="16"/>
        </w:rPr>
        <w:t>zególnych wierszach kolumny nr 3</w:t>
      </w:r>
      <w:r w:rsidR="00B75D3B" w:rsidRPr="00E73E9B">
        <w:rPr>
          <w:rFonts w:ascii="Arial" w:hAnsi="Arial" w:cs="Arial"/>
          <w:sz w:val="16"/>
          <w:szCs w:val="16"/>
        </w:rPr>
        <w:t xml:space="preserve">) </w:t>
      </w:r>
      <w:r w:rsidR="00B75D3B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="00B75D3B" w:rsidRPr="00E73E9B">
        <w:rPr>
          <w:rFonts w:ascii="Arial" w:hAnsi="Arial" w:cs="Arial"/>
          <w:sz w:val="16"/>
          <w:szCs w:val="16"/>
        </w:rPr>
        <w:t xml:space="preserve"> </w:t>
      </w:r>
      <w:r w:rsidR="00B75D3B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B75D3B" w:rsidRPr="00E73E9B">
        <w:rPr>
          <w:rFonts w:ascii="Arial" w:hAnsi="Arial" w:cs="Arial"/>
          <w:sz w:val="16"/>
          <w:szCs w:val="16"/>
        </w:rPr>
        <w:t xml:space="preserve"> (określonych w SIWZ tj. SOPZ </w:t>
      </w:r>
      <w:r w:rsidR="00B75D3B">
        <w:rPr>
          <w:rFonts w:ascii="Arial" w:hAnsi="Arial" w:cs="Arial"/>
          <w:sz w:val="16"/>
          <w:szCs w:val="16"/>
        </w:rPr>
        <w:br/>
      </w:r>
      <w:r w:rsidR="00B75D3B" w:rsidRPr="00E73E9B">
        <w:rPr>
          <w:rFonts w:ascii="Arial" w:hAnsi="Arial" w:cs="Arial"/>
          <w:sz w:val="16"/>
          <w:szCs w:val="16"/>
        </w:rPr>
        <w:t>oraz poszc</w:t>
      </w:r>
      <w:r w:rsidR="00B75D3B">
        <w:rPr>
          <w:rFonts w:ascii="Arial" w:hAnsi="Arial" w:cs="Arial"/>
          <w:sz w:val="16"/>
          <w:szCs w:val="16"/>
        </w:rPr>
        <w:t>zególnych wierszach kolumny nr 2</w:t>
      </w:r>
      <w:r w:rsidR="00B75D3B" w:rsidRPr="00E73E9B">
        <w:rPr>
          <w:rFonts w:ascii="Arial" w:hAnsi="Arial" w:cs="Arial"/>
          <w:sz w:val="16"/>
          <w:szCs w:val="16"/>
        </w:rPr>
        <w:t xml:space="preserve">) </w:t>
      </w:r>
      <w:r w:rsidR="00B75D3B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B75D3B"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B75D3B">
        <w:rPr>
          <w:rFonts w:ascii="Arial" w:hAnsi="Arial" w:cs="Arial"/>
          <w:sz w:val="16"/>
          <w:szCs w:val="16"/>
        </w:rPr>
        <w:t xml:space="preserve"> itp.). </w:t>
      </w:r>
      <w:r w:rsidR="00B75D3B" w:rsidRPr="00E73E9B">
        <w:rPr>
          <w:rFonts w:ascii="Arial" w:hAnsi="Arial" w:cs="Arial"/>
          <w:sz w:val="16"/>
          <w:szCs w:val="16"/>
        </w:rPr>
        <w:t>W przypadku</w:t>
      </w:r>
      <w:r w:rsidR="00B75D3B">
        <w:rPr>
          <w:rFonts w:ascii="Arial" w:hAnsi="Arial" w:cs="Arial"/>
          <w:sz w:val="16"/>
          <w:szCs w:val="16"/>
        </w:rPr>
        <w:t>,</w:t>
      </w:r>
      <w:r w:rsidR="00B75D3B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 w:rsidR="00B75D3B">
        <w:rPr>
          <w:rFonts w:ascii="Arial" w:hAnsi="Arial" w:cs="Arial"/>
          <w:sz w:val="16"/>
          <w:szCs w:val="16"/>
        </w:rPr>
        <w:br/>
      </w:r>
      <w:r w:rsidR="00B75D3B" w:rsidRPr="00E73E9B">
        <w:rPr>
          <w:rFonts w:ascii="Arial" w:hAnsi="Arial" w:cs="Arial"/>
          <w:sz w:val="16"/>
          <w:szCs w:val="16"/>
        </w:rPr>
        <w:t>w SIWZ, w kolumnie</w:t>
      </w:r>
      <w:r w:rsidR="00B75D3B">
        <w:rPr>
          <w:rFonts w:ascii="Arial" w:hAnsi="Arial" w:cs="Arial"/>
          <w:sz w:val="16"/>
          <w:szCs w:val="16"/>
        </w:rPr>
        <w:t xml:space="preserve"> nr 3</w:t>
      </w:r>
      <w:r w:rsidR="00B75D3B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="00B75D3B" w:rsidRPr="00E73E9B">
        <w:rPr>
          <w:rFonts w:ascii="Arial" w:hAnsi="Arial" w:cs="Arial"/>
          <w:sz w:val="16"/>
          <w:szCs w:val="16"/>
        </w:rPr>
        <w:t>.</w:t>
      </w: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40"/>
        <w:gridCol w:w="1577"/>
        <w:gridCol w:w="4602"/>
        <w:gridCol w:w="2047"/>
      </w:tblGrid>
      <w:tr w:rsidR="00E177AE" w:rsidRPr="00195AB9" w:rsidTr="00E177AE">
        <w:trPr>
          <w:trHeight w:val="374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177AE" w:rsidRPr="00195AB9" w:rsidTr="00E177AE">
        <w:trPr>
          <w:trHeight w:val="94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Pr="00E177AE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E177AE" w:rsidRPr="00195AB9" w:rsidTr="00E177AE">
        <w:trPr>
          <w:trHeight w:val="2368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48 portów 1G 10/100/1000BASE-T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  <w:p w:rsidR="00E177AE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86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Nieblokująca architektura o wydajności przełączania min. 100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Przełącznik wyposażony w porty pozwalające na zbudowanie stosu urządzeń zapewniających wydajność łączenia w stos min. 10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łączenia 8 przełączników w stos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Tablica MAC adresów min. 16k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Pamięć operacyjna: min. 512 MB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Pamięć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flash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: min. 64 MB pamięci Flash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sieci wirtualnych IEEE 802.1Q – min. 4094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Private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Wsparcie dla ramek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Jumbo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Frames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(min. 9216 bajtów)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Quality of Service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przechowywania min. kilku wersji konfiguracji w plikach tekstowych w pamięci Flash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monitorowania zajętości CPU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Wbudowany port 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console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port)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Wbudowany dodatkowy port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ethernet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do zarządzania </w:t>
            </w:r>
          </w:p>
          <w:p w:rsidR="00E177AE" w:rsidRPr="00E177AE" w:rsidRDefault="00E177AE" w:rsidP="00E177AE">
            <w:pPr>
              <w:spacing w:before="120" w:after="120" w:line="240" w:lineRule="exact"/>
              <w:ind w:left="37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Obsługa Routingu IPv4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IPv4 –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routingu dynamicznego IPv4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Policy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IPv6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IPv6 –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routingu dynamicznego IPv6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Bezpieczeństwo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TACACS+ (RFC 1492)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RADIUS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Authentication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(RFC 2138)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RADIUS Accounting (RFC 2139)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ograniczenie liczby MAC adresów na porcie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zatrzaśnięcie MAC adresu na porcie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wpisania statycznych MAC adresów na port/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vlan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wyłączenia MAC learning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SNMPv1/v2/v3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Klient SSH2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Listy kontroli dostępu ACL realizowane w sprzęcie bez zmniejszenia wydajności przełącznika 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bezpiecznego transferu plików SCP/SFTP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DHCP Option 82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Gratuitous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ARP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DHCP Server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DHCP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Ograniczanie przepustowości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rate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limiting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) na portach wyjściowych  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t>Bezpieczeństwo sieciowe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E177AE" w:rsidRPr="00E177AE" w:rsidRDefault="00E177AE" w:rsidP="00E177AE">
            <w:pPr>
              <w:spacing w:before="120" w:after="120" w:line="240" w:lineRule="exact"/>
              <w:ind w:left="377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PVST+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Link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IEEE 802.3ad wraz z LACP – 128 grup po 8 portów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MLAG - połączenie link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do dwóch niezależnych przełączników.</w:t>
            </w:r>
          </w:p>
          <w:p w:rsidR="00B75D3B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LACP w ramach MLAG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56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awarii 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Dokumenty dotyczące gwarancji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>oferowanych urządzeń zawierać mają  adres serwisu www i nr infolinii, pod którymi przyjmowane będą zgłoszenia serwisowe.</w:t>
            </w:r>
          </w:p>
          <w:p w:rsidR="00B75D3B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co najmniej jedną osobą posiadającą certyfikat lub inny równoważny dokument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(np. zaświadczenie, dyplom itd.) wydany przez producenta sprzętu 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680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) o ile dostarczone zostaną również licencje do zarządzania posiadanymi przez Urząd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53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Kable i moduły dodatkowe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 mają być wyposażone w kable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stakujące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w łącznej ilości :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Passive Copper Cable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SFP+  6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 1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metrowy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lastRenderedPageBreak/>
              <w:t>SFP+  6 sztuk  3 metrowy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SFP+ 4 sztuki  0.5 metrowy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 mają być wyposażone w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patchcordy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oraz moduły w łącznej ilości :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4 sztuki Moduł SFP+, MM LC, 300m, 10Gbps, TX:850nm, 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3m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1m</w:t>
            </w:r>
          </w:p>
          <w:p w:rsidR="00B75D3B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0.5m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bookmarkStart w:id="1" w:name="_Toc487028608"/>
    </w:p>
    <w:p w:rsidR="00B75D3B" w:rsidRPr="004A40B8" w:rsidRDefault="00E177AE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</w:t>
      </w:r>
      <w:r w:rsidR="00B75D3B">
        <w:rPr>
          <w:rFonts w:ascii="Arial" w:hAnsi="Arial" w:cs="Arial"/>
          <w:b/>
          <w:sz w:val="20"/>
          <w:szCs w:val="20"/>
        </w:rPr>
        <w:t xml:space="preserve"> 2 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2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B75D3B" w:rsidRPr="008D21A1">
        <w:rPr>
          <w:rFonts w:ascii="Arial" w:hAnsi="Arial" w:cs="Arial"/>
          <w:b/>
          <w:sz w:val="20"/>
          <w:szCs w:val="20"/>
        </w:rPr>
        <w:t>.</w:t>
      </w:r>
      <w:bookmarkEnd w:id="1"/>
      <w:r w:rsidR="00B75D3B">
        <w:rPr>
          <w:rFonts w:ascii="Arial" w:hAnsi="Arial" w:cs="Arial"/>
          <w:sz w:val="20"/>
          <w:szCs w:val="20"/>
        </w:rPr>
        <w:t xml:space="preserve"> </w:t>
      </w:r>
      <w:r w:rsidR="00B75D3B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B75D3B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 w:rsidR="00B75D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 w:rsidR="00B75D3B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 w:rsidR="00B75D3B">
        <w:rPr>
          <w:rFonts w:ascii="Arial" w:hAnsi="Arial" w:cs="Arial"/>
          <w:sz w:val="20"/>
          <w:szCs w:val="20"/>
        </w:rPr>
        <w:t>...........</w:t>
      </w:r>
      <w:r w:rsidR="00B75D3B" w:rsidRPr="001F342D">
        <w:rPr>
          <w:rFonts w:ascii="Arial" w:hAnsi="Arial" w:cs="Arial"/>
          <w:sz w:val="20"/>
          <w:szCs w:val="20"/>
        </w:rPr>
        <w:t>........................</w:t>
      </w:r>
      <w:r w:rsidR="00B75D3B">
        <w:rPr>
          <w:rFonts w:ascii="Arial" w:hAnsi="Arial" w:cs="Arial"/>
          <w:sz w:val="20"/>
          <w:szCs w:val="20"/>
        </w:rPr>
        <w:t>......</w:t>
      </w:r>
      <w:r w:rsidR="00B75D3B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B75D3B">
        <w:rPr>
          <w:rFonts w:ascii="Arial" w:hAnsi="Arial" w:cs="Arial"/>
          <w:sz w:val="20"/>
          <w:szCs w:val="20"/>
        </w:rPr>
        <w:br/>
      </w:r>
      <w:r w:rsidR="00B75D3B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C4123E" w:rsidRPr="00C4123E" w:rsidRDefault="00C4123E" w:rsidP="00C4123E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oraz poszc</w:t>
      </w:r>
      <w:r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w SIWZ, w kolumnie</w:t>
      </w:r>
      <w:r>
        <w:rPr>
          <w:rFonts w:ascii="Arial" w:hAnsi="Arial" w:cs="Arial"/>
          <w:sz w:val="16"/>
          <w:szCs w:val="16"/>
        </w:rPr>
        <w:t xml:space="preserve"> nr 3</w:t>
      </w:r>
      <w:r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2"/>
        <w:gridCol w:w="1577"/>
        <w:gridCol w:w="4693"/>
        <w:gridCol w:w="2054"/>
      </w:tblGrid>
      <w:tr w:rsidR="00DD251A" w:rsidRPr="002C1511" w:rsidTr="00DD251A">
        <w:trPr>
          <w:trHeight w:val="395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sz w:val="14"/>
                <w:szCs w:val="20"/>
              </w:rPr>
              <w:t>Nr Kolumny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DD251A" w:rsidRPr="002C1511" w:rsidTr="00DD251A">
        <w:trPr>
          <w:trHeight w:val="454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DD251A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</w:t>
            </w:r>
            <w:r w:rsidR="00B75D3B" w:rsidRPr="00DD251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techniczne, konfiguracja </w:t>
            </w:r>
            <w:r w:rsidR="00B75D3B" w:rsidRPr="00DD251A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posiadający 48 portów 1G 10/100/1000BASE-T oraz dodatkowo 2 porty 1/10 Gigabit Ethernet SFP+</w:t>
            </w:r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10GBase-SR, 10GBase-LR, 10GBase-ER, 10GBase-LRM</w:t>
            </w:r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Pr="005916D6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Nieblokująca architektura o wydajności przełączania min. 100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Gb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/s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Przełącznik wyposażony w porty pozwalające na zbudowanie stosu urządzeń zapewniających wydajność łączenia w stos min. 10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Gb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/s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łączenia 8 przełączników w stos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lastRenderedPageBreak/>
              <w:t>Tablica MAC adresów min. 16k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Pamięć operacyjna: min. 512 MB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Pamięć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flash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: min. 64 MB pamięci Flash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sieci wirtualnych IEEE 802.1Q – min. 4094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funkcjonalności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Private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Wsparcie dla ramek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Jumbo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Frames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(min. 9216 bajtów)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Quality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of Service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firmware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przechowywania min. kilku wersji konfiguracji w plikach tekstowych w pamięci Flash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monitorowania zajętości CPU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Wbudowany port  (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console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port)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Wbudowany dodatkowy port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ethernet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do zarządzania 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Obsługa Routingu IPv4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Sprzętowa 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routingu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IPv4 –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forwarding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Routing statyczny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routingu dynamicznego IPv4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Policy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Based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dla IPv4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Obsługa Routingu IPv6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Sprzętowa 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routingu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IPv6 –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forwarding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Routing statyczny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routingu dynamicznego IPv6</w:t>
            </w:r>
          </w:p>
          <w:p w:rsidR="00DD251A" w:rsidRPr="003A1C2E" w:rsidRDefault="00DD251A" w:rsidP="00DD251A">
            <w:pPr>
              <w:spacing w:before="120" w:after="120" w:line="280" w:lineRule="exact"/>
              <w:ind w:left="434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Bezpieczeństwo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DoS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TACACS+ (RFC 1492)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RADIUS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Authentication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(RFC 2138)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lastRenderedPageBreak/>
              <w:t>Obsługa RADIUS Accounting (RFC 2139)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ograniczenie liczby MAC adresów na porcie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zatrzaśnięcie MAC adresu na porcie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wpisania statycznych MAC adresów na port/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vlan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wyłączenia MAC learning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SNMPv1/v2/v3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Klient SSH2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DoS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Listy kontroli dostępu ACL realizowane w sprzęcie bez zmniejszenia wydajności przełącznika 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bezpiecznego transferu plików SCP/SFTP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DHCP Option 82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Gratuitous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ARP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Protection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Trusted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DHCP Server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DHCP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Snooping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Ograniczanie przepustowości (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rate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limiting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) na portach wyjściowych  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Bezpieczeństwo sieciowe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PVST+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Link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Aggregation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IEEE 802.3ad wraz z LACP – 128 grup po 8 portów</w:t>
            </w:r>
          </w:p>
          <w:p w:rsidR="00DD251A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MLAG - połączenie link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aggregation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3A1C2E">
              <w:rPr>
                <w:rFonts w:ascii="Tahoma" w:hAnsi="Tahoma" w:cs="Tahoma"/>
                <w:sz w:val="20"/>
                <w:szCs w:val="20"/>
              </w:rPr>
              <w:t>do dwóch niezależnych przełączników.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75D3B" w:rsidRPr="00DD251A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251A">
              <w:rPr>
                <w:rFonts w:ascii="Tahoma" w:hAnsi="Tahoma" w:cs="Tahoma"/>
                <w:sz w:val="20"/>
                <w:szCs w:val="20"/>
              </w:rPr>
              <w:t>Obsługa LACP w ramach MLAG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awarii 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Dokumenty dotyczące gwarancji oferowanych urządzeń zawierać mają  adres serwisu www i nr infolinii, pod którymi przyjmowane będą zgłoszenia serwisowe.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co najmniej jedną osobą posiadającą certyfikat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lub inny równoważny dokument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(np. zaświadczenie, dyplom itd.) wydany przez producenta sprzętu 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Zarządzanie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) o ile dostarczone zostaną również licencje do zarządzania posiadanymi przez Urząd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D3B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C4123E" w:rsidRDefault="00C4123E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B75D3B" w:rsidRPr="001F342D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Default="00B75D3B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C4123E" w:rsidRDefault="00C4123E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B75D3B" w:rsidRPr="001F342D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Pr="001F342D" w:rsidRDefault="00B75D3B" w:rsidP="00B75D3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75D3B" w:rsidRDefault="00B75D3B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DD251A" w:rsidRPr="00DD251A" w:rsidRDefault="00DD251A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 3</w:t>
      </w:r>
      <w:r w:rsidR="00B75D3B">
        <w:rPr>
          <w:rFonts w:ascii="Arial" w:hAnsi="Arial" w:cs="Arial"/>
          <w:b/>
          <w:sz w:val="20"/>
          <w:szCs w:val="20"/>
        </w:rPr>
        <w:t xml:space="preserve"> 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4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B75D3B" w:rsidRPr="008D21A1">
        <w:rPr>
          <w:rFonts w:ascii="Arial" w:hAnsi="Arial" w:cs="Arial"/>
          <w:b/>
          <w:sz w:val="20"/>
          <w:szCs w:val="20"/>
        </w:rPr>
        <w:t>.</w:t>
      </w:r>
      <w:r w:rsidR="00B75D3B">
        <w:rPr>
          <w:rFonts w:ascii="Arial" w:hAnsi="Arial" w:cs="Arial"/>
          <w:sz w:val="20"/>
          <w:szCs w:val="20"/>
        </w:rPr>
        <w:t xml:space="preserve"> </w:t>
      </w:r>
      <w:r w:rsidR="00B75D3B" w:rsidRPr="001F342D">
        <w:rPr>
          <w:rFonts w:ascii="Arial" w:hAnsi="Arial" w:cs="Arial"/>
          <w:b/>
          <w:sz w:val="20"/>
          <w:szCs w:val="20"/>
        </w:rPr>
        <w:t>Nazwa i model urządzenia:</w:t>
      </w:r>
    </w:p>
    <w:p w:rsidR="00B75D3B" w:rsidRPr="004A40B8" w:rsidRDefault="00B75D3B" w:rsidP="00DD251A">
      <w:pPr>
        <w:pStyle w:val="Akapitzlist"/>
        <w:tabs>
          <w:tab w:val="left" w:leader="dot" w:pos="9072"/>
        </w:tabs>
        <w:autoSpaceDE w:val="0"/>
        <w:autoSpaceDN w:val="0"/>
        <w:spacing w:before="24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F342D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</w:t>
      </w:r>
      <w:r w:rsidRPr="001F342D">
        <w:rPr>
          <w:rFonts w:ascii="Arial" w:hAnsi="Arial" w:cs="Arial"/>
          <w:sz w:val="20"/>
          <w:szCs w:val="20"/>
        </w:rPr>
        <w:t xml:space="preserve">........................ </w:t>
      </w:r>
      <w:r>
        <w:rPr>
          <w:rFonts w:ascii="Arial" w:hAnsi="Arial" w:cs="Arial"/>
          <w:sz w:val="20"/>
          <w:szCs w:val="20"/>
        </w:rPr>
        <w:br/>
      </w:r>
      <w:r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C4123E" w:rsidRPr="00C4123E" w:rsidRDefault="00C4123E" w:rsidP="00C4123E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oraz poszc</w:t>
      </w:r>
      <w:r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w SIWZ, w kolumnie</w:t>
      </w:r>
      <w:r>
        <w:rPr>
          <w:rFonts w:ascii="Arial" w:hAnsi="Arial" w:cs="Arial"/>
          <w:sz w:val="16"/>
          <w:szCs w:val="16"/>
        </w:rPr>
        <w:t xml:space="preserve"> nr 3</w:t>
      </w:r>
      <w:r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1"/>
        <w:gridCol w:w="1577"/>
        <w:gridCol w:w="4625"/>
        <w:gridCol w:w="2126"/>
      </w:tblGrid>
      <w:tr w:rsidR="00C4123E" w:rsidRPr="002C1511" w:rsidTr="00C4123E">
        <w:trPr>
          <w:trHeight w:val="66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23E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4123E" w:rsidRPr="002C1511" w:rsidTr="00C4123E">
        <w:trPr>
          <w:trHeight w:val="454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23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Pr="00C4123E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Przełącznik posiadający 24 portów 1G 10/100/1000BASE-T oraz dodatkowo 4 porty 1/10 Gigabit Ethernet SFP+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 xml:space="preserve"> 10GBase-SR, 10GBase-LR, 10GBase-ER, 10GBase-LRM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Nieblokująca architektura o wydajności przełączania min. 180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Przełącznik wyposażony w porty pozwalające na zbudowanie stosu urządzeń zapewniających wydajność łączenia w stos min. 80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Alternatywna możliwość rea</w:t>
            </w:r>
            <w:r w:rsidR="00C4123E">
              <w:rPr>
                <w:rFonts w:ascii="Arial" w:hAnsi="Arial" w:cs="Arial"/>
                <w:bCs/>
                <w:sz w:val="20"/>
                <w:szCs w:val="20"/>
              </w:rPr>
              <w:t xml:space="preserve">lizacji stosów z wykorzystaniem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>wbudowanych portów 10G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łączenia  6 przełączników w stos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Tablica MAC adresów min. 32k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Pamięć operacyjna: min. 1GB pamięci DRAM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Pamięć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flash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: min. 1GB pamięci Flash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sieci wirtualnych IEEE 802.1Q – min. 4094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Private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Wsparcie dla ramek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Jumbo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Frames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(min. 9216 bajtów)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Q-in-Q IEEE 802.1ad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Quality of Service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IEEE 802.1p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LLDP Media Endpoint Discovery (LLDP-MED) 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Przełącznik wyposażony w modularny system operacyjny z ochroną pamięci, procesów oraz zasobów procesora.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Wbudowany DHCP Serwer i klient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przechowywania min. kilkunastu wersji konfiguracji w plikach tekstowych w pamięci Flash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monitorowania zajętości CPU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Lokalna i zdalna możliwość monitoringu pakietów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Local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Remote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Mirroring)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Wirtualnych Routerów - możliwość uruchomienia oddzielnych procesów protokołu dynamicznego routingu z oddzielnymi tablicami. Możliwość użycia tych samych podsieci w różnych wirtualnych routerach.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Wbudowany dodatkowy port Gigabit/ Ethernet do zarządzania poza pasmem - out of band management.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IPv4 –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routingu dynamicznego IPv4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RIPv1/v2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OSPFv2 – możliwość rozszerzenia przez licencję oprogramowania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Policy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BootP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Relay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IPv6 –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routingu dynamicznego dla IPv6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RIPng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Policy Based Routing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dla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BootP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Relay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Opcja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IPv6 Router Advertisement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dla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DNS - RFC 6106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Bezpieczeństwo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Kerberos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- przechwytywanie autoryzacji użytkowników z wykorzystaniem protokołu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Kerberos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TACACS+ (RFC 1492)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Obsługa RADIUS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Authentication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(RFC 2138)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RADIUS Accounting (RFC 2139)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RADIUS and TACACS+ per-command Authentication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Bezpieczeństwo MAC adresów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ograniczenie liczby MAC adresów na porcie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wpisania statycznych MAC adresów na port/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vlan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wyłączenia MAC learning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SNMPv1/v2/v3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Klient SSH2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Networks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Ingress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Filtering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RFC 2267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SYN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Attack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Zabezpieczenie CPU przełącznika poprzez ograniczenie ruchu do systemu zarządzania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Dwukierunkowe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ingress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oraz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egress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) listy kontroli dostępu ACL pracujące na warstwie 2, 3 i 4 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Adres MAC źródłowy i docelowy plus maska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Adres IP źródłowy i docelowy plus maska dla IPv4 oraz IPv6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Protokół – np. UDP, TCP, ICMP, IGMP, OSPF, PIM, IPv6 itd.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Numery portów źródłowych i docelowych TCP, UDP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Zakresy portów źródłowych i docelowych TCP, UDP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Identyfikator sieci VLAN – VLAN ID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 Option 82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Gratuitous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ARP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DHCP Server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DHCP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DHCP Secured ARP/ARP Validation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Ograniczanie przepustowości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rate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limiting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) na portach wyjściowych 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Bezpieczeństwo sieciowe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redundancji routingu VRRP (RFC 2338) - możliwość rozszerzenia przez licencję oprogramowania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redundancji routingu VRRP na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dwóch urządzeniach agregacyjnych pracujących w ramach MLAG w trybie Active-Active (obydwa urządzenia przeprowadzają routing) - możliwość rozszerzenia przez licencję oprogramowania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PVST+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EAPS (Ethernet Automatic Protection Switching) RFC 3619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G.8032 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Link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IEEE 802.3ad wraz z LACP – 128 grup po 8 portów</w:t>
            </w:r>
          </w:p>
          <w:p w:rsid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MLAG - połączenie link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do dwóch niezależnych przełączników.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75D3B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LACP w ramach MLAG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awarii 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Dokumenty dotyczące gwarancji oferowanych urządzeń zawierać mają  adres serwisu www i nr infolinii, pod którymi przyjmowane będą zgłoszenia serwisowe.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co najmniej jedną osobą posiadającą certyfikat lub inny równoważny dokument (np. zaświadczenie, dyplom itd.) wydany przez producenta sprzętu 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) o ile dostarczone </w:t>
            </w:r>
            <w:r w:rsidRPr="00DD251A">
              <w:rPr>
                <w:rFonts w:ascii="Arial" w:hAnsi="Arial" w:cs="Arial"/>
                <w:sz w:val="20"/>
                <w:szCs w:val="20"/>
              </w:rPr>
              <w:lastRenderedPageBreak/>
              <w:t xml:space="preserve">zostaną również licencje do zarządzania posiadanymi przez Urząd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Kable i moduły dodatkowe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 mają być wyposażone w kable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stakujące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w łącznej ilości : 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Passive Copper Cable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 xml:space="preserve">QSFTP+ 2x 0.5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metra</w:t>
            </w:r>
            <w:proofErr w:type="spellEnd"/>
          </w:p>
          <w:p w:rsidR="00B75D3B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QSFTP+ 2x 5 metrów</w:t>
            </w:r>
            <w:r w:rsidR="003331BD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331BD" w:rsidRPr="003331BD" w:rsidRDefault="003331BD" w:rsidP="003331BD">
            <w:pPr>
              <w:pStyle w:val="Akapitzlist"/>
              <w:spacing w:before="60"/>
              <w:ind w:left="1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44A19">
              <w:rPr>
                <w:rFonts w:ascii="Arial" w:hAnsi="Arial" w:cs="Arial"/>
                <w:bCs/>
                <w:sz w:val="20"/>
                <w:szCs w:val="20"/>
              </w:rPr>
              <w:t>* Zamawiający dopuszcza dostarczenie zamiast pasywnych kabli miedzianych o długości 5m ich aktywnych odpowiedników o długości 5m. Zamawiający nie dopuszcza aktywnych zamienników dla kabli 0,5 m.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948" w:rsidRDefault="00BB1948" w:rsidP="00B75D3B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B75D3B" w:rsidRDefault="00B75D3B" w:rsidP="00C4123E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B75D3B" w:rsidRDefault="00B75D3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26171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C4123E" w:rsidRPr="001F342D" w:rsidRDefault="00C4123E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23" w:rsidRDefault="003F7B23" w:rsidP="00D71B9E">
      <w:pPr>
        <w:spacing w:after="0" w:line="240" w:lineRule="auto"/>
      </w:pPr>
      <w:r>
        <w:separator/>
      </w:r>
    </w:p>
  </w:endnote>
  <w:endnote w:type="continuationSeparator" w:id="0">
    <w:p w:rsidR="003F7B23" w:rsidRDefault="003F7B2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E10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696">
      <w:rPr>
        <w:rFonts w:ascii="Arial" w:hAnsi="Arial" w:cs="Arial"/>
        <w:b/>
        <w:bCs/>
        <w:noProof/>
        <w:sz w:val="14"/>
        <w:szCs w:val="14"/>
      </w:rPr>
      <w:t>13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E10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696">
      <w:rPr>
        <w:rFonts w:ascii="Arial" w:hAnsi="Arial" w:cs="Arial"/>
        <w:b/>
        <w:bCs/>
        <w:noProof/>
        <w:sz w:val="14"/>
        <w:szCs w:val="14"/>
      </w:rPr>
      <w:t>13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E10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696">
      <w:rPr>
        <w:rFonts w:ascii="Arial" w:hAnsi="Arial" w:cs="Arial"/>
        <w:b/>
        <w:bCs/>
        <w:noProof/>
        <w:sz w:val="14"/>
        <w:szCs w:val="14"/>
      </w:rPr>
      <w:t>1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E108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1696">
      <w:rPr>
        <w:rFonts w:ascii="Arial" w:hAnsi="Arial" w:cs="Arial"/>
        <w:b/>
        <w:bCs/>
        <w:noProof/>
        <w:sz w:val="14"/>
        <w:szCs w:val="14"/>
      </w:rPr>
      <w:t>13</w:t>
    </w:r>
    <w:r w:rsidR="00AE108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23" w:rsidRDefault="003F7B23" w:rsidP="00D71B9E">
      <w:pPr>
        <w:spacing w:after="0" w:line="240" w:lineRule="auto"/>
      </w:pPr>
      <w:r>
        <w:separator/>
      </w:r>
    </w:p>
  </w:footnote>
  <w:footnote w:type="continuationSeparator" w:id="0">
    <w:p w:rsidR="003F7B23" w:rsidRDefault="003F7B2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D251A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D251A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E23BF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E23BF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 w:rsidR="005707B3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5707B3">
      <w:rPr>
        <w:rFonts w:ascii="Arial" w:eastAsia="Times New Roman" w:hAnsi="Arial" w:cs="Arial"/>
        <w:sz w:val="20"/>
        <w:szCs w:val="20"/>
        <w:lang w:eastAsia="pl-PL"/>
      </w:rPr>
      <w:tab/>
    </w:r>
    <w:r w:rsidR="005707B3">
      <w:rPr>
        <w:rFonts w:ascii="Arial" w:eastAsia="Times New Roman" w:hAnsi="Arial" w:cs="Arial"/>
        <w:sz w:val="20"/>
        <w:szCs w:val="20"/>
        <w:lang w:eastAsia="pl-PL"/>
      </w:rPr>
      <w:tab/>
      <w:t xml:space="preserve">  </w:t>
    </w:r>
    <w:r w:rsidR="005707B3">
      <w:rPr>
        <w:rFonts w:ascii="Arial" w:eastAsia="Times New Roman" w:hAnsi="Arial" w:cs="Arial"/>
        <w:sz w:val="20"/>
        <w:szCs w:val="20"/>
      </w:rPr>
      <w:t>WZÓR FORMULARZA Z DNIA 18.10.2018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6F3245"/>
    <w:multiLevelType w:val="hybridMultilevel"/>
    <w:tmpl w:val="909A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EE6438"/>
    <w:multiLevelType w:val="hybridMultilevel"/>
    <w:tmpl w:val="EF206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4"/>
  </w:num>
  <w:num w:numId="36">
    <w:abstractNumId w:val="36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23BF"/>
    <w:rsid w:val="001E6960"/>
    <w:rsid w:val="001F2F79"/>
    <w:rsid w:val="001F342D"/>
    <w:rsid w:val="001F5503"/>
    <w:rsid w:val="001F726B"/>
    <w:rsid w:val="00201AAC"/>
    <w:rsid w:val="002207B2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3328"/>
    <w:rsid w:val="00304B58"/>
    <w:rsid w:val="0031192D"/>
    <w:rsid w:val="00311EC1"/>
    <w:rsid w:val="003126AD"/>
    <w:rsid w:val="003134A6"/>
    <w:rsid w:val="00325D87"/>
    <w:rsid w:val="003323AC"/>
    <w:rsid w:val="003331BD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2B27"/>
    <w:rsid w:val="003F7B23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1A73"/>
    <w:rsid w:val="004F00AB"/>
    <w:rsid w:val="004F5DD9"/>
    <w:rsid w:val="004F7303"/>
    <w:rsid w:val="00501696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07B3"/>
    <w:rsid w:val="005762C4"/>
    <w:rsid w:val="00577D6C"/>
    <w:rsid w:val="005829D0"/>
    <w:rsid w:val="005916D6"/>
    <w:rsid w:val="005941BE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3946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6908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336"/>
    <w:rsid w:val="00A87FC0"/>
    <w:rsid w:val="00AA344D"/>
    <w:rsid w:val="00AB25AE"/>
    <w:rsid w:val="00AB2F72"/>
    <w:rsid w:val="00AC6CB5"/>
    <w:rsid w:val="00AE1088"/>
    <w:rsid w:val="00AE2F32"/>
    <w:rsid w:val="00AF7C70"/>
    <w:rsid w:val="00B021BC"/>
    <w:rsid w:val="00B0288A"/>
    <w:rsid w:val="00B03CF9"/>
    <w:rsid w:val="00B25DDA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5D3B"/>
    <w:rsid w:val="00B76AC1"/>
    <w:rsid w:val="00B84380"/>
    <w:rsid w:val="00B915EE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C7D78"/>
    <w:rsid w:val="00BD26C5"/>
    <w:rsid w:val="00BD7248"/>
    <w:rsid w:val="00BD7851"/>
    <w:rsid w:val="00BF0445"/>
    <w:rsid w:val="00BF2FB1"/>
    <w:rsid w:val="00C22780"/>
    <w:rsid w:val="00C34F07"/>
    <w:rsid w:val="00C4123E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251A"/>
    <w:rsid w:val="00DD5939"/>
    <w:rsid w:val="00DD5CC2"/>
    <w:rsid w:val="00DE11C7"/>
    <w:rsid w:val="00DF7D0F"/>
    <w:rsid w:val="00E111BE"/>
    <w:rsid w:val="00E12D30"/>
    <w:rsid w:val="00E177AE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5CE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3F8A"/>
    <w:rsid w:val="00F451F6"/>
    <w:rsid w:val="00F6598E"/>
    <w:rsid w:val="00F66E34"/>
    <w:rsid w:val="00F7166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BE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B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5074-5373-4AED-8F2E-D5A02CD8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2867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12</cp:revision>
  <cp:lastPrinted>2018-10-18T12:51:00Z</cp:lastPrinted>
  <dcterms:created xsi:type="dcterms:W3CDTF">2017-07-19T07:47:00Z</dcterms:created>
  <dcterms:modified xsi:type="dcterms:W3CDTF">2018-10-18T12:51:00Z</dcterms:modified>
</cp:coreProperties>
</file>