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A531" w14:textId="77777777" w:rsidR="00A3407A" w:rsidRPr="00A3407A" w:rsidRDefault="00A3407A" w:rsidP="00A3407A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A3407A">
        <w:rPr>
          <w:rFonts w:ascii="Arial" w:eastAsia="Times New Roman" w:hAnsi="Arial" w:cs="Arial"/>
          <w:sz w:val="16"/>
          <w:szCs w:val="16"/>
          <w:lang w:eastAsia="pl-PL"/>
        </w:rPr>
        <w:t>Załącznik</w:t>
      </w:r>
    </w:p>
    <w:p w14:paraId="1600050C" w14:textId="77777777" w:rsidR="00A3407A" w:rsidRPr="00A3407A" w:rsidRDefault="00A3407A" w:rsidP="00A3407A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A3407A">
        <w:rPr>
          <w:rFonts w:ascii="Arial" w:eastAsia="Times New Roman" w:hAnsi="Arial" w:cs="Arial"/>
          <w:sz w:val="16"/>
          <w:szCs w:val="16"/>
          <w:lang w:eastAsia="pl-PL"/>
        </w:rPr>
        <w:t>do Uchwały Nr 1528/20</w:t>
      </w:r>
    </w:p>
    <w:p w14:paraId="19CE5256" w14:textId="77777777" w:rsidR="00A3407A" w:rsidRPr="00A3407A" w:rsidRDefault="00A3407A" w:rsidP="00A3407A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A3407A">
        <w:rPr>
          <w:rFonts w:ascii="Arial" w:eastAsia="Times New Roman" w:hAnsi="Arial" w:cs="Arial"/>
          <w:sz w:val="16"/>
          <w:szCs w:val="16"/>
          <w:lang w:eastAsia="pl-PL"/>
        </w:rPr>
        <w:t xml:space="preserve">Zarządu Województwa Zachodniopomorskiego </w:t>
      </w:r>
    </w:p>
    <w:p w14:paraId="1B3970D5" w14:textId="77777777" w:rsidR="00A3407A" w:rsidRPr="00A3407A" w:rsidRDefault="00A3407A" w:rsidP="00A3407A">
      <w:pPr>
        <w:spacing w:after="0" w:line="240" w:lineRule="auto"/>
        <w:ind w:left="6804"/>
        <w:rPr>
          <w:rFonts w:ascii="Arial" w:eastAsia="Times New Roman" w:hAnsi="Arial" w:cs="Arial"/>
          <w:b/>
          <w:sz w:val="14"/>
          <w:szCs w:val="14"/>
          <w:u w:val="single"/>
          <w:lang w:eastAsia="pl-PL"/>
        </w:rPr>
      </w:pPr>
      <w:r w:rsidRPr="00A3407A">
        <w:rPr>
          <w:rFonts w:ascii="Arial" w:eastAsia="Times New Roman" w:hAnsi="Arial" w:cs="Arial"/>
          <w:sz w:val="16"/>
          <w:szCs w:val="16"/>
          <w:lang w:eastAsia="pl-PL"/>
        </w:rPr>
        <w:t>z dnia 18 listopada 2020 r.</w:t>
      </w:r>
    </w:p>
    <w:p w14:paraId="05AA48B7" w14:textId="77777777" w:rsidR="00A3407A" w:rsidRPr="00A3407A" w:rsidRDefault="00A3407A" w:rsidP="00A3407A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3407A">
        <w:rPr>
          <w:rFonts w:ascii="Times" w:eastAsia="Times New Roman" w:hAnsi="Times" w:cs="Times"/>
          <w:b/>
          <w:sz w:val="20"/>
          <w:szCs w:val="20"/>
          <w:lang w:eastAsia="pl-PL"/>
        </w:rPr>
        <w:br/>
      </w:r>
      <w:r w:rsidRPr="00A3407A">
        <w:rPr>
          <w:rFonts w:ascii="Arial" w:eastAsia="Times New Roman" w:hAnsi="Arial" w:cs="Arial"/>
          <w:b/>
          <w:sz w:val="20"/>
          <w:szCs w:val="20"/>
          <w:lang w:eastAsia="pl-PL"/>
        </w:rPr>
        <w:t>INFORMACJA</w:t>
      </w:r>
    </w:p>
    <w:p w14:paraId="70B443D5" w14:textId="77777777" w:rsidR="00A3407A" w:rsidRPr="00A3407A" w:rsidRDefault="00A3407A" w:rsidP="00A3407A">
      <w:pPr>
        <w:spacing w:after="2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407A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23 ustawy z dnia 27 marca 2003 r. o planowaniu i zagospodarowaniu przestrzennym (Dz. U. z 2020 r. poz. 293 z </w:t>
      </w:r>
      <w:proofErr w:type="spellStart"/>
      <w:r w:rsidRPr="00A3407A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A3407A">
        <w:rPr>
          <w:rFonts w:ascii="Arial" w:eastAsia="Times New Roman" w:hAnsi="Arial" w:cs="Arial"/>
          <w:sz w:val="20"/>
          <w:szCs w:val="20"/>
          <w:lang w:eastAsia="pl-PL"/>
        </w:rPr>
        <w:t>. zm.), w związku ze skierowanym do Zarządu Województwa Zachodniopomorskiego zawiadomieniem</w:t>
      </w:r>
      <w:r w:rsidRPr="00A3407A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A3407A">
        <w:rPr>
          <w:rFonts w:ascii="Arial" w:eastAsia="Times New Roman" w:hAnsi="Arial" w:cs="Arial"/>
          <w:sz w:val="20"/>
          <w:szCs w:val="20"/>
          <w:lang w:eastAsia="pl-PL"/>
        </w:rPr>
        <w:t>Burmistrza Złocieńca, znak: ZNU.6721.3.2020.DŚ z dnia 4 listopada 2020 r., w sprawie przystąpienia do sporządzenia miejscowego planu zagospodarowania przestrzennego gminy Złocieniec – „ul. Myśliwska”,</w:t>
      </w:r>
    </w:p>
    <w:p w14:paraId="4E9B3ACA" w14:textId="77777777" w:rsidR="00A3407A" w:rsidRPr="00A3407A" w:rsidRDefault="00A3407A" w:rsidP="00A3407A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3407A">
        <w:rPr>
          <w:rFonts w:ascii="Arial" w:eastAsia="Times New Roman" w:hAnsi="Arial" w:cs="Arial"/>
          <w:b/>
          <w:sz w:val="20"/>
          <w:szCs w:val="20"/>
          <w:lang w:eastAsia="pl-PL"/>
        </w:rPr>
        <w:t>ZARZĄD WOJEWÓDZTWA ZACHODNIOPOMORSKIEGO</w:t>
      </w:r>
    </w:p>
    <w:p w14:paraId="342B2D54" w14:textId="77777777" w:rsidR="00A3407A" w:rsidRPr="00A3407A" w:rsidRDefault="00A3407A" w:rsidP="00A3407A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407A">
        <w:rPr>
          <w:rFonts w:ascii="Arial" w:eastAsia="Times New Roman" w:hAnsi="Arial" w:cs="Arial"/>
          <w:sz w:val="20"/>
          <w:szCs w:val="20"/>
          <w:lang w:eastAsia="pl-PL"/>
        </w:rPr>
        <w:t>1. Udostępnia do wykorzystania w w/w planie miejscowym informację z zapisów Planu Zagospodarowania Przestrzennego Województwa Zachodniopomorskiego (PZPWZ) przyjętego uchwałą nr XVII/214/20 Sejmiku Województwa Zachodniopomorskiego z dnia 24 czerwca 2020 r.:</w:t>
      </w:r>
    </w:p>
    <w:p w14:paraId="7776B01A" w14:textId="77777777" w:rsidR="00A3407A" w:rsidRPr="00A3407A" w:rsidRDefault="00A3407A" w:rsidP="00A3407A">
      <w:pPr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407A">
        <w:rPr>
          <w:rFonts w:ascii="Arial" w:eastAsia="Times New Roman" w:hAnsi="Arial" w:cs="Arial"/>
          <w:sz w:val="20"/>
          <w:szCs w:val="20"/>
          <w:lang w:eastAsia="pl-PL"/>
        </w:rPr>
        <w:t>W zakresie: Celu V. Ochrona dziedzictwa i krajobrazu kulturowego:</w:t>
      </w:r>
      <w:r w:rsidRPr="00A3407A">
        <w:rPr>
          <w:rFonts w:ascii="Arial" w:eastAsia="Times New Roman" w:hAnsi="Arial" w:cs="Arial"/>
          <w:sz w:val="20"/>
          <w:szCs w:val="20"/>
          <w:lang w:eastAsia="pl-PL"/>
        </w:rPr>
        <w:cr/>
        <w:t>Kierunek 2. Obszarowa ochrona obiektów dziedzictwa i krajobrazu kulturowego:</w:t>
      </w:r>
      <w:r w:rsidRPr="00A3407A">
        <w:rPr>
          <w:rFonts w:ascii="Arial" w:eastAsia="Times New Roman" w:hAnsi="Arial" w:cs="Arial"/>
          <w:sz w:val="20"/>
          <w:szCs w:val="20"/>
          <w:lang w:eastAsia="pl-PL"/>
        </w:rPr>
        <w:cr/>
        <w:t>Ustalenie:</w:t>
      </w:r>
      <w:r w:rsidRPr="00A3407A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Pr="00A3407A">
        <w:rPr>
          <w:rFonts w:ascii="Arial" w:eastAsia="Times New Roman" w:hAnsi="Arial" w:cs="Arial"/>
          <w:sz w:val="20"/>
          <w:szCs w:val="20"/>
          <w:lang w:eastAsia="pl-PL"/>
        </w:rPr>
        <w:t>Ochrona walorów wskazanych obszarów kulturowo-krajobrazowych (OKK), w tym zachowanie ich charakterystycznych cech kulturowych i krajobrazowych w drodze łącznego stosowania przepisów dotyczących ochrony zabytków, krajobrazu i środowiska przyrodniczego oraz poprzez:</w:t>
      </w:r>
    </w:p>
    <w:p w14:paraId="1F4EC551" w14:textId="77777777" w:rsidR="00A3407A" w:rsidRPr="00A3407A" w:rsidRDefault="00A3407A" w:rsidP="00A3407A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407A">
        <w:rPr>
          <w:rFonts w:ascii="Arial" w:eastAsia="Times New Roman" w:hAnsi="Arial" w:cs="Arial"/>
          <w:sz w:val="20"/>
          <w:szCs w:val="20"/>
          <w:lang w:eastAsia="pl-PL"/>
        </w:rPr>
        <w:t>ochronę historycznego układu siatki ulic, przestrzeni publicznych, linii zabudowy, gabarytów i formy obiektów budowlanych,</w:t>
      </w:r>
    </w:p>
    <w:p w14:paraId="2BF46F3F" w14:textId="77777777" w:rsidR="00A3407A" w:rsidRPr="00A3407A" w:rsidRDefault="00A3407A" w:rsidP="00A3407A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407A">
        <w:rPr>
          <w:rFonts w:ascii="Arial" w:eastAsia="Times New Roman" w:hAnsi="Arial" w:cs="Arial"/>
          <w:sz w:val="20"/>
          <w:szCs w:val="20"/>
          <w:lang w:eastAsia="pl-PL"/>
        </w:rPr>
        <w:t>uszanowanie lokalnych tradycji budowlanych, w zakresie używanych materiałów, technik i tradycji budowlanych, podczas remontów; renowacji, adaptacji, rozbudowy itp.,</w:t>
      </w:r>
    </w:p>
    <w:p w14:paraId="5B5C8DEA" w14:textId="77777777" w:rsidR="00A3407A" w:rsidRPr="00A3407A" w:rsidRDefault="00A3407A" w:rsidP="00A3407A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407A">
        <w:rPr>
          <w:rFonts w:ascii="Arial" w:eastAsia="Times New Roman" w:hAnsi="Arial" w:cs="Arial"/>
          <w:sz w:val="20"/>
          <w:szCs w:val="20"/>
          <w:lang w:eastAsia="pl-PL"/>
        </w:rPr>
        <w:t>kształtowanie nowej zabudowy w nawiązaniu do lokalnej tradycji budowlanej,</w:t>
      </w:r>
    </w:p>
    <w:p w14:paraId="08BD3589" w14:textId="77777777" w:rsidR="00A3407A" w:rsidRPr="00A3407A" w:rsidRDefault="00A3407A" w:rsidP="00A3407A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407A">
        <w:rPr>
          <w:rFonts w:ascii="Arial" w:eastAsia="Times New Roman" w:hAnsi="Arial" w:cs="Arial"/>
          <w:sz w:val="20"/>
          <w:szCs w:val="20"/>
          <w:lang w:eastAsia="pl-PL"/>
        </w:rPr>
        <w:t>poprzedzanie lokalizacji obiektów wielkokubaturowych i dominant wysokościowych analizami wpływu tych inwestycji na krajobraz, w celu minimalizacji negatywnego oddziaływania,</w:t>
      </w:r>
    </w:p>
    <w:p w14:paraId="5DBB6EFB" w14:textId="77777777" w:rsidR="00A3407A" w:rsidRPr="00A3407A" w:rsidRDefault="00A3407A" w:rsidP="00A3407A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407A">
        <w:rPr>
          <w:rFonts w:ascii="Arial" w:eastAsia="Times New Roman" w:hAnsi="Arial" w:cs="Arial"/>
          <w:sz w:val="20"/>
          <w:szCs w:val="20"/>
          <w:lang w:eastAsia="pl-PL"/>
        </w:rPr>
        <w:t>ujednolicenie i dostosowanie elementów małej architektury, płotów, ogrodzeń, nawierzchni ciągów pieszych do lokalnej tradycji budowlanej,</w:t>
      </w:r>
    </w:p>
    <w:p w14:paraId="7A9D8572" w14:textId="77777777" w:rsidR="00A3407A" w:rsidRPr="00A3407A" w:rsidRDefault="00A3407A" w:rsidP="00A3407A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407A">
        <w:rPr>
          <w:rFonts w:ascii="Arial" w:eastAsia="Times New Roman" w:hAnsi="Arial" w:cs="Arial"/>
          <w:sz w:val="20"/>
          <w:szCs w:val="20"/>
          <w:lang w:eastAsia="pl-PL"/>
        </w:rPr>
        <w:t xml:space="preserve">porządkowanie, utrzymywanie i uzupełnianie zespołów zieleni; ochrona </w:t>
      </w:r>
      <w:proofErr w:type="spellStart"/>
      <w:r w:rsidRPr="00A3407A">
        <w:rPr>
          <w:rFonts w:ascii="Arial" w:eastAsia="Times New Roman" w:hAnsi="Arial" w:cs="Arial"/>
          <w:sz w:val="20"/>
          <w:szCs w:val="20"/>
          <w:lang w:eastAsia="pl-PL"/>
        </w:rPr>
        <w:t>obsadzeń</w:t>
      </w:r>
      <w:proofErr w:type="spellEnd"/>
      <w:r w:rsidRPr="00A3407A">
        <w:rPr>
          <w:rFonts w:ascii="Arial" w:eastAsia="Times New Roman" w:hAnsi="Arial" w:cs="Arial"/>
          <w:sz w:val="20"/>
          <w:szCs w:val="20"/>
          <w:lang w:eastAsia="pl-PL"/>
        </w:rPr>
        <w:t xml:space="preserve"> alejowych wzdłuż ciągów komunikacyjnych oraz uzupełnianie ich brakujących fragmentów,</w:t>
      </w:r>
    </w:p>
    <w:p w14:paraId="081566B2" w14:textId="77777777" w:rsidR="00A3407A" w:rsidRPr="00A3407A" w:rsidRDefault="00A3407A" w:rsidP="00A3407A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407A">
        <w:rPr>
          <w:rFonts w:ascii="Arial" w:eastAsia="Times New Roman" w:hAnsi="Arial" w:cs="Arial"/>
          <w:sz w:val="20"/>
          <w:szCs w:val="20"/>
          <w:lang w:eastAsia="pl-PL"/>
        </w:rPr>
        <w:t>zastosowanie zieleni izolacyjnej wzdłuż ciągów komunikacyjnych – zwłaszcza głównych wjazdów do miejscowości, w przypadku lokalizacji obiektów związanych z funkcją produkcyjną, magazynową itp.,</w:t>
      </w:r>
    </w:p>
    <w:p w14:paraId="38116CF1" w14:textId="77777777" w:rsidR="00A3407A" w:rsidRPr="00A3407A" w:rsidRDefault="00A3407A" w:rsidP="00A3407A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407A">
        <w:rPr>
          <w:rFonts w:ascii="Arial" w:eastAsia="Times New Roman" w:hAnsi="Arial" w:cs="Arial"/>
          <w:sz w:val="20"/>
          <w:szCs w:val="20"/>
          <w:lang w:eastAsia="pl-PL"/>
        </w:rPr>
        <w:t>ochronę sylwet miejscowości,</w:t>
      </w:r>
    </w:p>
    <w:p w14:paraId="0F8D2ED3" w14:textId="77777777" w:rsidR="00A3407A" w:rsidRPr="00A3407A" w:rsidRDefault="00A3407A" w:rsidP="00A3407A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407A">
        <w:rPr>
          <w:rFonts w:ascii="Arial" w:eastAsia="Times New Roman" w:hAnsi="Arial" w:cs="Arial"/>
          <w:sz w:val="20"/>
          <w:szCs w:val="20"/>
          <w:lang w:eastAsia="pl-PL"/>
        </w:rPr>
        <w:t>odpowiednie ogrodzenie, uporządkowanie i oznakowanie cmentarzy.</w:t>
      </w:r>
    </w:p>
    <w:p w14:paraId="3649FCE4" w14:textId="77777777" w:rsidR="00A3407A" w:rsidRPr="00A3407A" w:rsidRDefault="00A3407A" w:rsidP="00A3407A">
      <w:pPr>
        <w:widowControl w:val="0"/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407A">
        <w:rPr>
          <w:rFonts w:ascii="Arial" w:eastAsia="Times New Roman" w:hAnsi="Arial" w:cs="Arial"/>
          <w:sz w:val="20"/>
          <w:szCs w:val="20"/>
          <w:lang w:eastAsia="pl-PL"/>
        </w:rPr>
        <w:t>W zakresie OKK 18:</w:t>
      </w:r>
    </w:p>
    <w:p w14:paraId="4F777F0F" w14:textId="77777777" w:rsidR="00A3407A" w:rsidRPr="00A3407A" w:rsidRDefault="00A3407A" w:rsidP="00A3407A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407A">
        <w:rPr>
          <w:rFonts w:ascii="Arial" w:eastAsia="Times New Roman" w:hAnsi="Arial" w:cs="Arial"/>
          <w:sz w:val="20"/>
          <w:szCs w:val="20"/>
          <w:lang w:eastAsia="pl-PL"/>
        </w:rPr>
        <w:t xml:space="preserve">Ochrona cech topografii terenu; ochrona punktów widokowych, sylwet miejscowości, </w:t>
      </w:r>
      <w:r w:rsidRPr="00A3407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dominant kulturowych oraz miejsc ich ekspozycji; utrzymanie rolniczego charakteru krajobrazu.</w:t>
      </w:r>
    </w:p>
    <w:p w14:paraId="3652402F" w14:textId="77777777" w:rsidR="00A3407A" w:rsidRPr="00A3407A" w:rsidRDefault="00A3407A" w:rsidP="00A3407A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407A">
        <w:rPr>
          <w:rFonts w:ascii="Arial" w:eastAsia="Times New Roman" w:hAnsi="Arial" w:cs="Arial"/>
          <w:sz w:val="20"/>
          <w:szCs w:val="20"/>
          <w:lang w:eastAsia="pl-PL"/>
        </w:rPr>
        <w:t>2). Ponadto informuje się, że teren objęty przedmiotowym miejscowym planem zagospodarowania przestrzennego położony jest:</w:t>
      </w:r>
    </w:p>
    <w:p w14:paraId="0C752DD5" w14:textId="77777777" w:rsidR="00A3407A" w:rsidRPr="00A3407A" w:rsidRDefault="00A3407A" w:rsidP="00A3407A">
      <w:pPr>
        <w:widowControl w:val="0"/>
        <w:numPr>
          <w:ilvl w:val="0"/>
          <w:numId w:val="3"/>
        </w:numPr>
        <w:suppressAutoHyphens/>
        <w:spacing w:after="0"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407A">
        <w:rPr>
          <w:rFonts w:ascii="Arial" w:eastAsia="Times New Roman" w:hAnsi="Arial" w:cs="Arial"/>
          <w:sz w:val="20"/>
          <w:szCs w:val="20"/>
          <w:lang w:eastAsia="pl-PL"/>
        </w:rPr>
        <w:t>w obszarze chronionego krajobrazu „Pojezierze Drawskie”, w związku z czym należy uwzględnić treść Uchwały Nr XXXII/375/09 Sejmiku Województwa Zachodniopomorskiego z dnia 15 września 2009 r. w sprawie obszarów chronionego krajobrazu (ze zmianami).</w:t>
      </w:r>
    </w:p>
    <w:p w14:paraId="066C074B" w14:textId="77777777" w:rsidR="00A3407A" w:rsidRPr="00A3407A" w:rsidRDefault="00A3407A" w:rsidP="00A3407A">
      <w:pPr>
        <w:widowControl w:val="0"/>
        <w:numPr>
          <w:ilvl w:val="0"/>
          <w:numId w:val="3"/>
        </w:numPr>
        <w:suppressAutoHyphens/>
        <w:spacing w:after="0"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407A">
        <w:rPr>
          <w:rFonts w:ascii="Arial" w:eastAsia="Times New Roman" w:hAnsi="Arial" w:cs="Arial"/>
          <w:sz w:val="20"/>
          <w:szCs w:val="20"/>
          <w:lang w:eastAsia="pl-PL"/>
        </w:rPr>
        <w:t>w obszarze otuliny Drawskiego Parku Krajobrazowego, w związku z czym należy uwzględnić treść Uchwały Nr XXXVII/499/14 Sejmiku Województwa Zachodniopomorskiego z dnia 24 czerwca 2014 r. w sprawie Drawskiego Parku Krajobrazowego.</w:t>
      </w:r>
    </w:p>
    <w:p w14:paraId="79608396" w14:textId="77777777" w:rsidR="00A3407A" w:rsidRPr="00A3407A" w:rsidRDefault="00A3407A" w:rsidP="00A3407A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407A">
        <w:rPr>
          <w:rFonts w:ascii="Arial" w:eastAsia="Times New Roman" w:hAnsi="Arial" w:cs="Arial"/>
          <w:sz w:val="20"/>
          <w:szCs w:val="20"/>
          <w:lang w:eastAsia="pl-PL"/>
        </w:rPr>
        <w:t>2. PZPWZ dostępny jest na stronie internetowej Biuletynu Informacji Publicznej Urzędu Marszałkowskiego Województwa Zachodniopomorskiego www.bip.wzp.pl (w menu: Województwo / Strategie, plany studia i programy / Plan zagospodarowania przestrzennego).</w:t>
      </w:r>
    </w:p>
    <w:p w14:paraId="04E9C90B" w14:textId="77777777" w:rsidR="005C3A0A" w:rsidRDefault="005C3A0A"/>
    <w:sectPr w:rsidR="005C3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F4474B"/>
    <w:multiLevelType w:val="hybridMultilevel"/>
    <w:tmpl w:val="866657B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AB349D8"/>
    <w:multiLevelType w:val="hybridMultilevel"/>
    <w:tmpl w:val="7728D1DC"/>
    <w:lvl w:ilvl="0" w:tplc="A8CE9A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A8CE9A0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6F93264"/>
    <w:multiLevelType w:val="hybridMultilevel"/>
    <w:tmpl w:val="E47A9B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9F45566">
      <w:start w:val="1"/>
      <w:numFmt w:val="decimal"/>
      <w:lvlText w:val="%6."/>
      <w:lvlJc w:val="lef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7A"/>
    <w:rsid w:val="005C3A0A"/>
    <w:rsid w:val="00A3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1474"/>
  <w15:chartTrackingRefBased/>
  <w15:docId w15:val="{EE84F848-01A0-409F-874D-BD64AAAC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2020-11-20T13:37:00Z</dcterms:created>
  <dcterms:modified xsi:type="dcterms:W3CDTF">2020-11-20T13:38:00Z</dcterms:modified>
</cp:coreProperties>
</file>