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343E0" w14:textId="77777777" w:rsidR="002A4B72" w:rsidRPr="00390B12" w:rsidRDefault="002A4B72" w:rsidP="002A4B72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5E4FE97A" w14:textId="77777777" w:rsidR="002A4B72" w:rsidRPr="00390B12" w:rsidRDefault="002A4B72" w:rsidP="002A4B72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1525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3ABCC5F6" w14:textId="77777777" w:rsidR="002A4B72" w:rsidRPr="00390B12" w:rsidRDefault="002A4B72" w:rsidP="002A4B72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770343A2" w14:textId="77777777" w:rsidR="002A4B72" w:rsidRPr="00390B12" w:rsidRDefault="002A4B72" w:rsidP="002A4B72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>z dnia</w:t>
      </w:r>
      <w:r>
        <w:rPr>
          <w:rFonts w:ascii="Times" w:hAnsi="Times" w:cs="Times"/>
          <w:sz w:val="16"/>
          <w:szCs w:val="16"/>
        </w:rPr>
        <w:t xml:space="preserve"> 18 listopada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534692D0" w14:textId="77777777" w:rsidR="002A4B72" w:rsidRPr="00390B12" w:rsidRDefault="002A4B72" w:rsidP="002A4B72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WNIOSEK</w:t>
      </w:r>
    </w:p>
    <w:p w14:paraId="557B243B" w14:textId="77777777" w:rsidR="002A4B72" w:rsidRDefault="002A4B72" w:rsidP="002A4B72">
      <w:pPr>
        <w:spacing w:after="0" w:line="360" w:lineRule="auto"/>
        <w:ind w:firstLine="425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i zagospodarowaniu przestrzennym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Wójta Gminy Brzeżno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 w:rsidRPr="009F20C6">
        <w:rPr>
          <w:rFonts w:ascii="Times" w:hAnsi="Times" w:cs="Times"/>
          <w:sz w:val="20"/>
          <w:szCs w:val="20"/>
        </w:rPr>
        <w:t>BGK.6721.7.2020 z dnia 26 października 2020 r.</w:t>
      </w:r>
      <w:r w:rsidRPr="00390B12">
        <w:rPr>
          <w:rFonts w:ascii="Times" w:hAnsi="Times" w:cs="Times"/>
          <w:sz w:val="20"/>
          <w:szCs w:val="20"/>
        </w:rPr>
        <w:t xml:space="preserve">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gminy </w:t>
      </w:r>
      <w:r w:rsidRPr="009F20C6">
        <w:rPr>
          <w:rFonts w:ascii="Times" w:hAnsi="Times" w:cs="Times"/>
          <w:sz w:val="20"/>
          <w:szCs w:val="20"/>
        </w:rPr>
        <w:t>Brzeżno w części obrębu ewidencyjnego Słonowice</w:t>
      </w:r>
      <w:r w:rsidRPr="009F20C6">
        <w:rPr>
          <w:rFonts w:ascii="Times" w:hAnsi="Times" w:cs="Times"/>
          <w:b/>
          <w:sz w:val="20"/>
          <w:szCs w:val="20"/>
        </w:rPr>
        <w:t xml:space="preserve"> </w:t>
      </w:r>
    </w:p>
    <w:p w14:paraId="7029D022" w14:textId="77777777" w:rsidR="002A4B72" w:rsidRPr="00390B12" w:rsidRDefault="002A4B72" w:rsidP="002A4B72">
      <w:pPr>
        <w:spacing w:line="360" w:lineRule="auto"/>
        <w:ind w:firstLine="426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0F22AD5A" w14:textId="77777777" w:rsidR="002A4B72" w:rsidRDefault="002A4B72" w:rsidP="002A4B72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Składa wniosek w zakresie zadań samorządowych województwa,</w:t>
      </w:r>
      <w:r w:rsidRPr="009F20C6">
        <w:rPr>
          <w:rFonts w:ascii="Times" w:hAnsi="Times" w:cs="Times"/>
          <w:sz w:val="20"/>
          <w:szCs w:val="20"/>
        </w:rPr>
        <w:t xml:space="preserve"> zawarty</w:t>
      </w:r>
      <w:r>
        <w:rPr>
          <w:rFonts w:ascii="Times" w:hAnsi="Times" w:cs="Times"/>
          <w:sz w:val="20"/>
          <w:szCs w:val="20"/>
        </w:rPr>
        <w:t xml:space="preserve"> w </w:t>
      </w:r>
      <w:r w:rsidRPr="009F20C6">
        <w:rPr>
          <w:rFonts w:ascii="Times" w:hAnsi="Times" w:cs="Times"/>
          <w:sz w:val="20"/>
          <w:szCs w:val="20"/>
        </w:rPr>
        <w:t>Plan</w:t>
      </w:r>
      <w:r>
        <w:rPr>
          <w:rFonts w:ascii="Times" w:hAnsi="Times" w:cs="Times"/>
          <w:sz w:val="20"/>
          <w:szCs w:val="20"/>
        </w:rPr>
        <w:t>ie</w:t>
      </w:r>
      <w:r w:rsidRPr="009F20C6">
        <w:rPr>
          <w:rFonts w:ascii="Times" w:hAnsi="Times" w:cs="Times"/>
          <w:sz w:val="20"/>
          <w:szCs w:val="20"/>
        </w:rPr>
        <w:t xml:space="preserve"> inwestycji transportowych dla Województwa Zachodniopomorskiego</w:t>
      </w:r>
      <w:r>
        <w:rPr>
          <w:rFonts w:ascii="Times" w:hAnsi="Times" w:cs="Times"/>
          <w:sz w:val="20"/>
          <w:szCs w:val="20"/>
        </w:rPr>
        <w:t xml:space="preserve">: </w:t>
      </w:r>
    </w:p>
    <w:p w14:paraId="4061190E" w14:textId="77777777" w:rsidR="002A4B72" w:rsidRPr="009F20C6" w:rsidRDefault="002A4B72" w:rsidP="002A4B72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F20C6">
        <w:rPr>
          <w:rFonts w:ascii="Times" w:hAnsi="Times" w:cs="Times"/>
          <w:b/>
          <w:bCs/>
          <w:sz w:val="20"/>
          <w:szCs w:val="20"/>
        </w:rPr>
        <w:t>„Przebudowa drogi wojewódzkiej nr</w:t>
      </w:r>
      <w:r>
        <w:rPr>
          <w:rFonts w:ascii="Times" w:hAnsi="Times" w:cs="Times"/>
          <w:b/>
          <w:bCs/>
          <w:sz w:val="20"/>
          <w:szCs w:val="20"/>
        </w:rPr>
        <w:t xml:space="preserve"> </w:t>
      </w:r>
      <w:r w:rsidRPr="009F20C6">
        <w:rPr>
          <w:rFonts w:ascii="Times" w:hAnsi="Times" w:cs="Times"/>
          <w:b/>
          <w:bCs/>
          <w:sz w:val="20"/>
          <w:szCs w:val="20"/>
        </w:rPr>
        <w:t>151 na odcinku Świdwin–Łobez”</w:t>
      </w:r>
      <w:r>
        <w:rPr>
          <w:rFonts w:ascii="Times" w:hAnsi="Times" w:cs="Times"/>
          <w:b/>
          <w:bCs/>
          <w:sz w:val="20"/>
          <w:szCs w:val="20"/>
        </w:rPr>
        <w:t>.</w:t>
      </w:r>
    </w:p>
    <w:p w14:paraId="680B133D" w14:textId="77777777" w:rsidR="002A4B72" w:rsidRPr="002424CB" w:rsidRDefault="002A4B72" w:rsidP="002A4B72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Ponadto 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 xml:space="preserve"> </w:t>
      </w:r>
      <w:r w:rsidRPr="008B49EC">
        <w:rPr>
          <w:rFonts w:ascii="Times" w:hAnsi="Times" w:cs="Times"/>
          <w:sz w:val="20"/>
          <w:szCs w:val="20"/>
        </w:rPr>
        <w:t>przyjętego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t xml:space="preserve"> </w:t>
      </w:r>
      <w:r w:rsidRPr="008B49EC">
        <w:rPr>
          <w:rFonts w:ascii="Times" w:hAnsi="Times" w:cs="Times"/>
          <w:sz w:val="20"/>
          <w:szCs w:val="20"/>
        </w:rPr>
        <w:t>2020 r.</w:t>
      </w:r>
      <w:r>
        <w:rPr>
          <w:rFonts w:ascii="Times" w:hAnsi="Times" w:cs="Times"/>
          <w:sz w:val="20"/>
          <w:szCs w:val="20"/>
        </w:rPr>
        <w:t>:</w:t>
      </w:r>
    </w:p>
    <w:p w14:paraId="0BEDED3F" w14:textId="77777777" w:rsidR="002A4B72" w:rsidRPr="001374C9" w:rsidRDefault="002A4B72" w:rsidP="002A4B72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w</w:t>
      </w:r>
      <w:r w:rsidRPr="001374C9">
        <w:rPr>
          <w:rFonts w:ascii="Times" w:hAnsi="Times" w:cs="Times"/>
          <w:b/>
          <w:sz w:val="20"/>
          <w:szCs w:val="20"/>
        </w:rPr>
        <w:t xml:space="preserve"> zakresie: Celu V. Ochrona dziedzictwa i krajobrazu kulturowego:</w:t>
      </w:r>
    </w:p>
    <w:p w14:paraId="41B33472" w14:textId="77777777" w:rsidR="002A4B72" w:rsidRPr="002B460F" w:rsidRDefault="002A4B72" w:rsidP="002A4B72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B460F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12EFD9DA" w14:textId="77777777" w:rsidR="002A4B72" w:rsidRPr="002B460F" w:rsidRDefault="002A4B72" w:rsidP="002A4B72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2B460F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16852AE8" w14:textId="77777777" w:rsidR="002A4B72" w:rsidRPr="00593875" w:rsidRDefault="002A4B72" w:rsidP="002A4B72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B460F">
        <w:rPr>
          <w:rFonts w:ascii="Times" w:hAnsi="Times" w:cs="Times"/>
          <w:sz w:val="20"/>
          <w:szCs w:val="20"/>
        </w:rPr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12 „Dolina Regi”</w:t>
      </w:r>
      <w:r w:rsidRPr="002B460F">
        <w:rPr>
          <w:rFonts w:ascii="Times" w:hAnsi="Times" w:cs="Times"/>
          <w:sz w:val="20"/>
          <w:szCs w:val="20"/>
        </w:rPr>
        <w:t>), w tym zachowanie ich charakterystycznych cech kulturowych i</w:t>
      </w:r>
      <w:r>
        <w:rPr>
          <w:rFonts w:ascii="Times" w:hAnsi="Times" w:cs="Times"/>
          <w:sz w:val="20"/>
          <w:szCs w:val="20"/>
        </w:rPr>
        <w:t xml:space="preserve"> </w:t>
      </w:r>
      <w:r w:rsidRPr="002B460F">
        <w:rPr>
          <w:rFonts w:ascii="Times" w:hAnsi="Times" w:cs="Times"/>
          <w:sz w:val="20"/>
          <w:szCs w:val="20"/>
        </w:rPr>
        <w:t>krajobrazowych w drodze łącznego stosowania przepisów dotyczących ochrony zabytków, krajobrazu i środowiska przyrodniczego</w:t>
      </w:r>
      <w:r w:rsidRPr="00593875">
        <w:rPr>
          <w:rFonts w:ascii="Times" w:hAnsi="Times" w:cs="Times"/>
          <w:sz w:val="20"/>
          <w:szCs w:val="20"/>
        </w:rPr>
        <w:t xml:space="preserve"> oraz poprzez: </w:t>
      </w:r>
    </w:p>
    <w:p w14:paraId="0DCBCE4A" w14:textId="77777777" w:rsidR="002A4B72" w:rsidRPr="00EE34B3" w:rsidRDefault="002A4B72" w:rsidP="002A4B72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="Times" w:hAnsi="Times" w:cs="Times"/>
          <w:color w:val="000000"/>
          <w:sz w:val="20"/>
          <w:szCs w:val="20"/>
        </w:rPr>
      </w:pPr>
      <w:r w:rsidRPr="00EE34B3">
        <w:rPr>
          <w:rFonts w:ascii="Times" w:hAnsi="Times" w:cs="Times"/>
          <w:color w:val="000000"/>
          <w:sz w:val="20"/>
          <w:szCs w:val="20"/>
        </w:rPr>
        <w:t>odpowiednie utrzymanie, zagospodarowanie, oznakowanie i wyeksponowanie obiektów historycznych</w:t>
      </w:r>
      <w:r>
        <w:rPr>
          <w:rFonts w:ascii="Times" w:hAnsi="Times" w:cs="Times"/>
          <w:color w:val="000000"/>
          <w:sz w:val="20"/>
          <w:szCs w:val="20"/>
        </w:rPr>
        <w:t>,</w:t>
      </w:r>
    </w:p>
    <w:p w14:paraId="5EB5B5B6" w14:textId="77777777" w:rsidR="002A4B72" w:rsidRPr="00593875" w:rsidRDefault="002A4B72" w:rsidP="002A4B72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5" w:hanging="425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  <w:r>
        <w:rPr>
          <w:rFonts w:ascii="Times" w:hAnsi="Times" w:cs="Times"/>
          <w:sz w:val="20"/>
          <w:szCs w:val="20"/>
        </w:rPr>
        <w:t>,</w:t>
      </w:r>
    </w:p>
    <w:p w14:paraId="7C08F63C" w14:textId="77777777" w:rsidR="002A4B72" w:rsidRPr="00593875" w:rsidRDefault="002A4B72" w:rsidP="002A4B72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5" w:hanging="425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7EDB43F2" w14:textId="77777777" w:rsidR="002A4B72" w:rsidRPr="00593875" w:rsidRDefault="002A4B72" w:rsidP="002A4B72">
      <w:pPr>
        <w:pStyle w:val="Akapitzlist"/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3CCA8756" w14:textId="77777777" w:rsidR="002A4B72" w:rsidRPr="00593875" w:rsidRDefault="002A4B72" w:rsidP="002A4B72">
      <w:pPr>
        <w:pStyle w:val="Akapitzlist"/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40B6C1CA" w14:textId="77777777" w:rsidR="002A4B72" w:rsidRPr="00593875" w:rsidRDefault="002A4B72" w:rsidP="002A4B72">
      <w:pPr>
        <w:pStyle w:val="Stylpunktory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>
        <w:rPr>
          <w:rFonts w:ascii="Times" w:hAnsi="Times" w:cs="Times"/>
          <w:sz w:val="20"/>
          <w:szCs w:val="20"/>
        </w:rPr>
        <w:t>,</w:t>
      </w:r>
    </w:p>
    <w:p w14:paraId="3E352A2A" w14:textId="77777777" w:rsidR="002A4B72" w:rsidRPr="00593875" w:rsidRDefault="002A4B72" w:rsidP="002A4B72">
      <w:pPr>
        <w:pStyle w:val="Stylpunktory"/>
        <w:numPr>
          <w:ilvl w:val="0"/>
          <w:numId w:val="1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zastosowanie zieleni izolacyjnej wzdłuż ciągów komunikacyjnych – zwłaszcza głównych wjazdów</w:t>
      </w:r>
      <w:r>
        <w:rPr>
          <w:rFonts w:ascii="Times" w:hAnsi="Times" w:cs="Times"/>
          <w:sz w:val="20"/>
          <w:szCs w:val="20"/>
        </w:rPr>
        <w:br/>
      </w:r>
      <w:r w:rsidRPr="00593875">
        <w:rPr>
          <w:rFonts w:ascii="Times" w:hAnsi="Times" w:cs="Times"/>
          <w:sz w:val="20"/>
          <w:szCs w:val="20"/>
        </w:rPr>
        <w:t>do miejscowości, w przypadku lokalizacji obiektów związanych z funkcją produkcyjną, magazynową itp.</w:t>
      </w:r>
      <w:r>
        <w:rPr>
          <w:rFonts w:ascii="Times" w:hAnsi="Times" w:cs="Times"/>
          <w:sz w:val="20"/>
          <w:szCs w:val="20"/>
        </w:rPr>
        <w:t>,</w:t>
      </w:r>
    </w:p>
    <w:p w14:paraId="189F678D" w14:textId="77777777" w:rsidR="002A4B72" w:rsidRPr="00C75196" w:rsidRDefault="002A4B72" w:rsidP="002A4B72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593875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cech topografii terenu; ochrona punktów widokowych, sylwet miejscowości, dominant kulturowych oraz miejsc ich ekspozycji; utrzymanie rolniczego charakteru krajobrazu</w:t>
      </w:r>
      <w:r>
        <w:rPr>
          <w:rFonts w:ascii="Times" w:hAnsi="Times" w:cs="Times"/>
          <w:sz w:val="20"/>
          <w:szCs w:val="20"/>
        </w:rPr>
        <w:t>,</w:t>
      </w:r>
    </w:p>
    <w:p w14:paraId="36543AFB" w14:textId="77777777" w:rsidR="002A4B72" w:rsidRPr="00EE34B3" w:rsidRDefault="002A4B72" w:rsidP="002A4B7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E34B3">
        <w:rPr>
          <w:rFonts w:ascii="Times" w:hAnsi="Times" w:cs="Times"/>
          <w:sz w:val="20"/>
          <w:szCs w:val="20"/>
        </w:rPr>
        <w:t>ograniczenie zabudowy brzegów jezior i zbiorników wodnych poza miejscowościami oraz zapewnienie publicznego dostępu do ich brzegów</w:t>
      </w:r>
      <w:r>
        <w:rPr>
          <w:rFonts w:ascii="Times" w:hAnsi="Times" w:cs="Times"/>
          <w:sz w:val="20"/>
          <w:szCs w:val="20"/>
        </w:rPr>
        <w:t>,</w:t>
      </w:r>
    </w:p>
    <w:p w14:paraId="58676FD8" w14:textId="77777777" w:rsidR="002A4B72" w:rsidRPr="00EE34B3" w:rsidRDefault="002A4B72" w:rsidP="002A4B7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EE34B3">
        <w:rPr>
          <w:rFonts w:ascii="Times" w:hAnsi="Times" w:cs="Times"/>
          <w:sz w:val="20"/>
          <w:szCs w:val="20"/>
        </w:rPr>
        <w:t>przywrócenie miejscowościom związków z wodą: rewitalizacja nabrzeży oraz kształtowanie nowej zabudowy nadwodnej</w:t>
      </w:r>
      <w:r>
        <w:rPr>
          <w:rFonts w:ascii="Times" w:hAnsi="Times" w:cs="Times"/>
          <w:sz w:val="20"/>
          <w:szCs w:val="20"/>
        </w:rPr>
        <w:t>.</w:t>
      </w:r>
    </w:p>
    <w:sectPr w:rsidR="002A4B72" w:rsidRPr="00EE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5E25D11"/>
    <w:multiLevelType w:val="hybridMultilevel"/>
    <w:tmpl w:val="63123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72"/>
    <w:rsid w:val="002A4B72"/>
    <w:rsid w:val="00F3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ADBB"/>
  <w15:chartTrackingRefBased/>
  <w15:docId w15:val="{10E39A3F-B256-41C7-A4AD-74666208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2A4B72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2A4B72"/>
    <w:pPr>
      <w:numPr>
        <w:numId w:val="2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2A4B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2020-11-20T13:02:00Z</dcterms:created>
  <dcterms:modified xsi:type="dcterms:W3CDTF">2020-11-20T13:03:00Z</dcterms:modified>
</cp:coreProperties>
</file>